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b w:val="0"/>
          <w:sz w:val="30"/>
          <w:szCs w:val="30"/>
        </w:rPr>
      </w:pPr>
      <w:bookmarkStart w:id="0" w:name="_Toc24724713"/>
      <w:r>
        <w:rPr>
          <w:rFonts w:hint="eastAsia" w:ascii="方正小标宋_GBK" w:eastAsia="方正小标宋_GBK"/>
          <w:b w:val="0"/>
          <w:sz w:val="30"/>
          <w:szCs w:val="30"/>
        </w:rPr>
        <w:t>（十</w:t>
      </w:r>
      <w:bookmarkStart w:id="1" w:name="_GoBack"/>
      <w:r>
        <w:rPr>
          <w:rFonts w:hint="eastAsia" w:ascii="方正小标宋_GBK" w:eastAsia="方正小标宋_GBK"/>
          <w:b w:val="0"/>
          <w:sz w:val="30"/>
          <w:szCs w:val="30"/>
        </w:rPr>
        <w:t>）社会保险领域</w:t>
      </w:r>
      <w:bookmarkEnd w:id="1"/>
      <w:r>
        <w:rPr>
          <w:rFonts w:hint="eastAsia" w:ascii="方正小标宋_GBK" w:eastAsia="方正小标宋_GBK"/>
          <w:b w:val="0"/>
          <w:sz w:val="30"/>
          <w:szCs w:val="30"/>
        </w:rPr>
        <w:t>基层政务公开标准目录</w:t>
      </w:r>
      <w:bookmarkEnd w:id="0"/>
    </w:p>
    <w:tbl>
      <w:tblPr>
        <w:tblStyle w:val="9"/>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15"/>
                <w:szCs w:val="15"/>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事项名称、事项简述、办理材料、办理方式、办理时限、办事时间、办理机构及地点、咨询查询途径、监督投诉渠道</w:t>
            </w:r>
          </w:p>
        </w:tc>
        <w:tc>
          <w:tcPr>
            <w:tcW w:w="2036" w:type="dxa"/>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《中华人民共和国社会保险法》、《工伤保险条例》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C00000"/>
                <w:sz w:val="18"/>
                <w:szCs w:val="18"/>
              </w:rPr>
              <w:t>单位（项目）基本信息变更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C00000"/>
                <w:sz w:val="18"/>
                <w:szCs w:val="18"/>
              </w:rPr>
              <w:t>个人基本信息变更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C00000"/>
                <w:sz w:val="18"/>
                <w:szCs w:val="18"/>
              </w:rPr>
              <w:t>养老保险待遇发放账户维护申请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hint="eastAsia"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1" w:hRule="atLeas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3</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C00000"/>
                <w:sz w:val="18"/>
                <w:szCs w:val="18"/>
              </w:rPr>
              <w:t>职工正常退休申请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4</w:t>
            </w:r>
          </w:p>
        </w:tc>
        <w:tc>
          <w:tcPr>
            <w:tcW w:w="72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C00000"/>
                <w:sz w:val="18"/>
                <w:szCs w:val="18"/>
              </w:rPr>
              <w:t>城乡居民养老保险待遇申领</w:t>
            </w:r>
          </w:p>
        </w:tc>
        <w:tc>
          <w:tcPr>
            <w:tcW w:w="306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事项名称、事项简述、办理材料、办理方式、办理时限、办事时间、办理机构及地点、咨询查询途径、监督投诉渠道</w:t>
            </w:r>
          </w:p>
        </w:tc>
        <w:tc>
          <w:tcPr>
            <w:tcW w:w="2036"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5</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C00000"/>
                <w:sz w:val="18"/>
                <w:szCs w:val="18"/>
              </w:rPr>
              <w:t>暂停养老保险待遇申请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6</w:t>
            </w:r>
          </w:p>
        </w:tc>
        <w:tc>
          <w:tcPr>
            <w:tcW w:w="72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恢复养老保险待遇申请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、《劳动保险条例》</w:t>
            </w:r>
          </w:p>
        </w:tc>
        <w:tc>
          <w:tcPr>
            <w:tcW w:w="162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个人账户一次性待遇申领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C00000"/>
                <w:sz w:val="18"/>
                <w:szCs w:val="18"/>
              </w:rPr>
              <w:t>遗属待遇申领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0</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C00000"/>
                <w:sz w:val="18"/>
                <w:szCs w:val="18"/>
              </w:rPr>
              <w:t>病残津贴申领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1</w:t>
            </w:r>
          </w:p>
        </w:tc>
        <w:tc>
          <w:tcPr>
            <w:tcW w:w="72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C00000"/>
                <w:sz w:val="18"/>
                <w:szCs w:val="18"/>
              </w:rPr>
              <w:t>城镇职工基本养老保险关系转移接续申请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事项名称、事项简述、办理材料、办理方式、办理时限、办事时间、办理机构及地点、咨询查询途径、监督投诉渠道</w:t>
            </w:r>
          </w:p>
        </w:tc>
        <w:tc>
          <w:tcPr>
            <w:tcW w:w="203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、《国务院办公厅关于转发人力资源社会保障部财政部城镇企业职工基本养老保险关系转移接续暂行办法的通知》</w:t>
            </w:r>
          </w:p>
        </w:tc>
        <w:tc>
          <w:tcPr>
            <w:tcW w:w="162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机关事业单位养老保险关系转移接续申请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城乡居民基本养老保险关系转移接续申请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hint="eastAsia"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机关事业单位基本养老保险与城镇企业职工基本养老保险互转申请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5</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C00000"/>
                <w:sz w:val="18"/>
                <w:szCs w:val="18"/>
              </w:rPr>
              <w:t xml:space="preserve">城镇职工基本养老保险与城乡居民基本养老保险制度衔接申请  </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、《劳动保险条例》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6</w:t>
            </w:r>
          </w:p>
        </w:tc>
        <w:tc>
          <w:tcPr>
            <w:tcW w:w="72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军地养老保险关系转移接续申请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多重养老保险关系个人账户退费</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《人力资源社会保障部财政部关于印发＜城乡养老保险制度衔接暂行办法＞的通知》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28</w:t>
            </w:r>
          </w:p>
        </w:tc>
        <w:tc>
          <w:tcPr>
            <w:tcW w:w="72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用人单位办理工伤登记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事项名称、事项简述、办理材料、办理方式、办理时限、办事时间、办理机构及地点、咨询查询途径、监督投诉渠道</w:t>
            </w:r>
          </w:p>
        </w:tc>
        <w:tc>
          <w:tcPr>
            <w:tcW w:w="2036"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《中华人民共和国社会保险法》、《工伤保险条例》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29</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变更工伤登记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3</w:t>
            </w:r>
            <w:r>
              <w:rPr>
                <w:rFonts w:hint="eastAsia" w:ascii="仿宋_GB2312" w:hAnsi="宋体" w:eastAsia="仿宋_GB2312"/>
                <w:color w:val="000000"/>
                <w:sz w:val="18"/>
                <w:szCs w:val="18"/>
                <w:lang w:val="en-US" w:eastAsia="zh-CN"/>
              </w:rPr>
              <w:t>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异地居住就医申请确认</w:t>
            </w:r>
          </w:p>
        </w:tc>
        <w:tc>
          <w:tcPr>
            <w:tcW w:w="3060" w:type="dxa"/>
            <w:vMerge w:val="restart"/>
            <w:vAlign w:val="center"/>
          </w:tcPr>
          <w:p>
            <w:pPr>
              <w:jc w:val="left"/>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事项名称、事项简述、办理材料、办理方式、办理时限、办事时间、办理机构及地点、咨询查询途径、监督投诉渠道</w:t>
            </w:r>
          </w:p>
        </w:tc>
        <w:tc>
          <w:tcPr>
            <w:tcW w:w="2036" w:type="dxa"/>
            <w:vMerge w:val="restart"/>
            <w:vAlign w:val="center"/>
          </w:tcPr>
          <w:p>
            <w:pP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Merge w:val="restart"/>
            <w:vAlign w:val="center"/>
          </w:tcPr>
          <w:p>
            <w:pP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3</w:t>
            </w:r>
            <w:r>
              <w:rPr>
                <w:rFonts w:hint="eastAsia" w:ascii="仿宋_GB2312" w:hAnsi="宋体" w:eastAsia="仿宋_GB2312"/>
                <w:color w:val="000000"/>
                <w:sz w:val="18"/>
                <w:szCs w:val="18"/>
                <w:lang w:val="en-US" w:eastAsia="zh-CN"/>
              </w:rPr>
              <w:t>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异地工伤就医报告</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3</w:t>
            </w:r>
            <w:r>
              <w:rPr>
                <w:rFonts w:hint="eastAsia" w:ascii="仿宋_GB2312" w:hAnsi="宋体" w:eastAsia="仿宋_GB2312"/>
                <w:color w:val="000000"/>
                <w:sz w:val="18"/>
                <w:szCs w:val="18"/>
                <w:lang w:val="en-US" w:eastAsia="zh-CN"/>
              </w:rPr>
              <w:t>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旧伤复发申请确认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转诊转院申请确认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34</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工伤康复申请确认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35</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工伤康复治疗期延长申请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辅助器具配置或更换申请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辅助器具异地配置申请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停工留薪期确认和延长确认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工伤医疗（康复）费用申报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4</w:t>
            </w:r>
            <w:r>
              <w:rPr>
                <w:rFonts w:hint="eastAsia" w:ascii="仿宋_GB2312" w:hAnsi="宋体" w:eastAsia="仿宋_GB2312"/>
                <w:color w:val="000000"/>
                <w:sz w:val="18"/>
                <w:szCs w:val="18"/>
                <w:lang w:val="en-US" w:eastAsia="zh-CN"/>
              </w:rPr>
              <w:t>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住院伙食补助费申领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4</w:t>
            </w:r>
            <w:r>
              <w:rPr>
                <w:rFonts w:hint="eastAsia" w:ascii="仿宋_GB2312" w:hAnsi="宋体" w:eastAsia="仿宋_GB2312"/>
                <w:color w:val="000000"/>
                <w:sz w:val="18"/>
                <w:szCs w:val="18"/>
                <w:lang w:val="en-US" w:eastAsia="zh-CN"/>
              </w:rPr>
              <w:t>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统筹地区以外交通、食宿费申领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4</w:t>
            </w:r>
            <w:r>
              <w:rPr>
                <w:rFonts w:hint="eastAsia" w:ascii="仿宋_GB2312" w:hAnsi="宋体" w:eastAsia="仿宋_GB2312"/>
                <w:color w:val="000000"/>
                <w:sz w:val="18"/>
                <w:szCs w:val="18"/>
                <w:lang w:val="en-US" w:eastAsia="zh-CN"/>
              </w:rPr>
              <w:t>2</w:t>
            </w:r>
          </w:p>
        </w:tc>
        <w:tc>
          <w:tcPr>
            <w:tcW w:w="72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一次性工伤医疗补助金申请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辅助器具配置（更换）费用申报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伤残待遇申领（一次性伤残补助金、伤残津贴和生活护理费）</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一次性工亡补助金（含生活困难，预支50%确认）、丧葬补助金申领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46</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C00000"/>
                <w:sz w:val="18"/>
                <w:szCs w:val="18"/>
              </w:rPr>
            </w:pPr>
            <w:r>
              <w:rPr>
                <w:rFonts w:hint="eastAsia" w:ascii="仿宋_GB2312" w:hAnsi="宋体" w:eastAsia="仿宋_GB2312"/>
                <w:color w:val="C00000"/>
                <w:sz w:val="18"/>
                <w:szCs w:val="18"/>
              </w:rPr>
              <w:t>供养亲属抚恤金申领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47</w:t>
            </w:r>
          </w:p>
        </w:tc>
        <w:tc>
          <w:tcPr>
            <w:tcW w:w="72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工伤</w:t>
            </w:r>
            <w:r>
              <w:rPr>
                <w:rFonts w:hint="eastAsia" w:ascii="仿宋_GB2312" w:hAnsi="宋体" w:eastAsia="仿宋_GB2312"/>
                <w:color w:val="000000"/>
                <w:sz w:val="18"/>
                <w:szCs w:val="18"/>
              </w:rPr>
              <w:t>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事项名称、事项简述、办理材料、办理方式、办理时限、办事时间、办理机构及地点、咨询查询途径、监督投诉渠道</w:t>
            </w:r>
          </w:p>
        </w:tc>
        <w:tc>
          <w:tcPr>
            <w:tcW w:w="2036"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color w:val="FF0000"/>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2000000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2Njk3MTViZWZmNDZmMTgzZmY2Y2Y1YTQ0OThkNjAifQ=="/>
  </w:docVars>
  <w:rsids>
    <w:rsidRoot w:val="00416393"/>
    <w:rsid w:val="00193DB9"/>
    <w:rsid w:val="001E6D63"/>
    <w:rsid w:val="00264E7D"/>
    <w:rsid w:val="002967AA"/>
    <w:rsid w:val="002E0878"/>
    <w:rsid w:val="003B2C77"/>
    <w:rsid w:val="004077CB"/>
    <w:rsid w:val="00416393"/>
    <w:rsid w:val="00612901"/>
    <w:rsid w:val="007B6A00"/>
    <w:rsid w:val="008438B0"/>
    <w:rsid w:val="00902A01"/>
    <w:rsid w:val="00A41EEC"/>
    <w:rsid w:val="00FA002F"/>
    <w:rsid w:val="02501441"/>
    <w:rsid w:val="0615058F"/>
    <w:rsid w:val="077C2139"/>
    <w:rsid w:val="0D6D057B"/>
    <w:rsid w:val="114D2D6F"/>
    <w:rsid w:val="198401A9"/>
    <w:rsid w:val="1B6528C4"/>
    <w:rsid w:val="254C5A8F"/>
    <w:rsid w:val="29786935"/>
    <w:rsid w:val="2CE57483"/>
    <w:rsid w:val="418E4713"/>
    <w:rsid w:val="6419691B"/>
    <w:rsid w:val="643443A4"/>
    <w:rsid w:val="79246A5D"/>
    <w:rsid w:val="7A9F04C5"/>
    <w:rsid w:val="7FE023A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7"/>
    <w:autoRedefine/>
    <w:semiHidden/>
    <w:qFormat/>
    <w:uiPriority w:val="0"/>
    <w:pPr>
      <w:jc w:val="left"/>
    </w:pPr>
  </w:style>
  <w:style w:type="paragraph" w:styleId="4">
    <w:name w:val="Balloon Text"/>
    <w:basedOn w:val="1"/>
    <w:link w:val="19"/>
    <w:autoRedefine/>
    <w:semiHidden/>
    <w:qFormat/>
    <w:uiPriority w:val="0"/>
    <w:rPr>
      <w:sz w:val="18"/>
      <w:szCs w:val="18"/>
    </w:rPr>
  </w:style>
  <w:style w:type="paragraph" w:styleId="5">
    <w:name w:val="footer"/>
    <w:basedOn w:val="1"/>
    <w:link w:val="22"/>
    <w:autoRedefine/>
    <w:qFormat/>
    <w:uiPriority w:val="0"/>
    <w:pPr>
      <w:tabs>
        <w:tab w:val="center" w:pos="4153"/>
        <w:tab w:val="right" w:pos="8306"/>
      </w:tabs>
      <w:snapToGrid w:val="0"/>
      <w:jc w:val="left"/>
    </w:pPr>
    <w:rPr>
      <w:sz w:val="18"/>
      <w:szCs w:val="18"/>
    </w:rPr>
  </w:style>
  <w:style w:type="paragraph" w:styleId="6">
    <w:name w:val="header"/>
    <w:basedOn w:val="1"/>
    <w:link w:val="2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autoRedefine/>
    <w:semiHidden/>
    <w:qFormat/>
    <w:uiPriority w:val="0"/>
    <w:rPr>
      <w:b/>
      <w:bCs/>
    </w:rPr>
  </w:style>
  <w:style w:type="table" w:styleId="10">
    <w:name w:val="Table Grid"/>
    <w:basedOn w:val="9"/>
    <w:autoRedefine/>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autoRedefine/>
    <w:qFormat/>
    <w:uiPriority w:val="0"/>
  </w:style>
  <w:style w:type="character" w:styleId="13">
    <w:name w:val="Hyperlink"/>
    <w:autoRedefine/>
    <w:qFormat/>
    <w:uiPriority w:val="0"/>
    <w:rPr>
      <w:color w:val="0000FF"/>
      <w:u w:val="single"/>
    </w:rPr>
  </w:style>
  <w:style w:type="character" w:styleId="14">
    <w:name w:val="annotation reference"/>
    <w:autoRedefine/>
    <w:semiHidden/>
    <w:qFormat/>
    <w:uiPriority w:val="0"/>
    <w:rPr>
      <w:sz w:val="21"/>
      <w:szCs w:val="21"/>
    </w:rPr>
  </w:style>
  <w:style w:type="character" w:customStyle="1" w:styleId="15">
    <w:name w:val="标题 1 字符"/>
    <w:basedOn w:val="11"/>
    <w:link w:val="2"/>
    <w:autoRedefine/>
    <w:qFormat/>
    <w:uiPriority w:val="0"/>
    <w:rPr>
      <w:rFonts w:ascii="Calibri" w:hAnsi="Calibri" w:eastAsia="宋体" w:cs="Times New Roman"/>
      <w:b/>
      <w:bCs/>
      <w:kern w:val="44"/>
      <w:sz w:val="44"/>
      <w:szCs w:val="44"/>
    </w:rPr>
  </w:style>
  <w:style w:type="paragraph" w:customStyle="1" w:styleId="16">
    <w:name w:val="列出段落"/>
    <w:basedOn w:val="1"/>
    <w:autoRedefine/>
    <w:qFormat/>
    <w:uiPriority w:val="0"/>
    <w:pPr>
      <w:ind w:firstLine="420" w:firstLineChars="200"/>
    </w:pPr>
    <w:rPr>
      <w:rFonts w:ascii="等线" w:hAnsi="等线" w:eastAsia="等线"/>
    </w:rPr>
  </w:style>
  <w:style w:type="character" w:customStyle="1" w:styleId="17">
    <w:name w:val="批注文字 字符"/>
    <w:basedOn w:val="11"/>
    <w:link w:val="3"/>
    <w:autoRedefine/>
    <w:semiHidden/>
    <w:qFormat/>
    <w:uiPriority w:val="0"/>
    <w:rPr>
      <w:rFonts w:ascii="Calibri" w:hAnsi="Calibri" w:eastAsia="宋体" w:cs="Times New Roman"/>
    </w:rPr>
  </w:style>
  <w:style w:type="character" w:customStyle="1" w:styleId="18">
    <w:name w:val="批注主题 字符"/>
    <w:basedOn w:val="17"/>
    <w:link w:val="8"/>
    <w:autoRedefine/>
    <w:semiHidden/>
    <w:qFormat/>
    <w:uiPriority w:val="0"/>
    <w:rPr>
      <w:rFonts w:ascii="Calibri" w:hAnsi="Calibri" w:eastAsia="宋体" w:cs="Times New Roman"/>
      <w:b/>
      <w:bCs/>
    </w:rPr>
  </w:style>
  <w:style w:type="character" w:customStyle="1" w:styleId="19">
    <w:name w:val="批注框文本 字符"/>
    <w:basedOn w:val="11"/>
    <w:link w:val="4"/>
    <w:autoRedefine/>
    <w:semiHidden/>
    <w:qFormat/>
    <w:uiPriority w:val="0"/>
    <w:rPr>
      <w:rFonts w:ascii="Calibri" w:hAnsi="Calibri" w:eastAsia="宋体" w:cs="Times New Roman"/>
      <w:sz w:val="18"/>
      <w:szCs w:val="18"/>
    </w:rPr>
  </w:style>
  <w:style w:type="paragraph" w:customStyle="1" w:styleId="20">
    <w:name w:val="列出段落1"/>
    <w:basedOn w:val="1"/>
    <w:autoRedefine/>
    <w:qFormat/>
    <w:uiPriority w:val="0"/>
    <w:pPr>
      <w:ind w:firstLine="420" w:firstLineChars="200"/>
    </w:pPr>
  </w:style>
  <w:style w:type="character" w:customStyle="1" w:styleId="21">
    <w:name w:val="页眉 字符"/>
    <w:basedOn w:val="11"/>
    <w:link w:val="6"/>
    <w:autoRedefine/>
    <w:qFormat/>
    <w:uiPriority w:val="0"/>
    <w:rPr>
      <w:rFonts w:ascii="Calibri" w:hAnsi="Calibri" w:eastAsia="宋体" w:cs="Times New Roman"/>
      <w:sz w:val="18"/>
      <w:szCs w:val="18"/>
    </w:rPr>
  </w:style>
  <w:style w:type="character" w:customStyle="1" w:styleId="22">
    <w:name w:val="页脚 字符"/>
    <w:basedOn w:val="11"/>
    <w:link w:val="5"/>
    <w:autoRedefine/>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8344-096B-40CB-BABD-969550E207C7}">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3603</Words>
  <Characters>3662</Characters>
  <Lines>52</Lines>
  <Paragraphs>14</Paragraphs>
  <TotalTime>87</TotalTime>
  <ScaleCrop>false</ScaleCrop>
  <LinksUpToDate>false</LinksUpToDate>
  <CharactersWithSpaces>3830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2020-03-06T06:58:00Z</dcterms:created>
  <dc:creator>tai yuzhu</dc:creator>
  <cp:lastModifiedBy>枕边书</cp:lastModifiedBy>
  <cp:lastPrinted>2020-09-21T02:06:00Z</cp:lastPrinted>
  <dcterms:modified xsi:type="dcterms:W3CDTF">2024-03-25T08:58:23Z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111FB29200E845BAB13C52215647FE47_13</vt:lpwstr>
  </property>
</Properties>
</file>