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eastAsia" w:ascii="宋体" w:hAnsi="宋体" w:eastAsia="宋体" w:cs="宋体"/>
          <w:szCs w:val="28"/>
          <w:lang w:eastAsia="zh-CN"/>
        </w:rPr>
      </w:pPr>
    </w:p>
    <w:p>
      <w:pPr>
        <w:ind w:firstLine="0" w:firstLineChars="0"/>
        <w:rPr>
          <w:rFonts w:hint="eastAsia" w:ascii="宋体" w:hAnsi="宋体" w:eastAsia="宋体" w:cs="宋体"/>
          <w:sz w:val="52"/>
          <w:szCs w:val="52"/>
        </w:rPr>
      </w:pPr>
      <w:r>
        <w:rPr>
          <w:rFonts w:hint="eastAsia" w:ascii="宋体" w:hAnsi="宋体" w:eastAsia="宋体" w:cs="宋体"/>
          <w:spacing w:val="1"/>
          <w:w w:val="59"/>
          <w:kern w:val="0"/>
          <w:sz w:val="52"/>
          <w:szCs w:val="52"/>
          <w:fitText w:val="7800" w:id="-1132713984"/>
        </w:rPr>
        <w:t>2024年度</w:t>
      </w:r>
      <w:bookmarkStart w:id="24" w:name="_GoBack"/>
      <w:r>
        <w:rPr>
          <w:rFonts w:hint="eastAsia" w:ascii="宋体" w:hAnsi="宋体" w:eastAsia="宋体" w:cs="宋体"/>
          <w:spacing w:val="1"/>
          <w:w w:val="59"/>
          <w:kern w:val="0"/>
          <w:sz w:val="52"/>
          <w:szCs w:val="52"/>
          <w:fitText w:val="7800" w:id="-1132713984"/>
        </w:rPr>
        <w:t>中铁资源苏尼特左旗芒来矿业有限公司芒来煤</w:t>
      </w:r>
      <w:r>
        <w:rPr>
          <w:rFonts w:hint="eastAsia" w:ascii="宋体" w:hAnsi="宋体" w:eastAsia="宋体" w:cs="宋体"/>
          <w:spacing w:val="27"/>
          <w:w w:val="59"/>
          <w:kern w:val="0"/>
          <w:sz w:val="52"/>
          <w:szCs w:val="52"/>
          <w:fitText w:val="7800" w:id="-1132713984"/>
        </w:rPr>
        <w:t>矿</w:t>
      </w:r>
    </w:p>
    <w:p>
      <w:pPr>
        <w:ind w:firstLine="0" w:firstLineChars="0"/>
        <w:rPr>
          <w:rFonts w:hint="eastAsia" w:ascii="宋体" w:hAnsi="宋体" w:eastAsia="宋体" w:cs="宋体"/>
          <w:b/>
          <w:bCs/>
          <w:sz w:val="52"/>
          <w:szCs w:val="52"/>
        </w:rPr>
      </w:pPr>
      <w:r>
        <w:rPr>
          <w:rFonts w:hint="eastAsia" w:ascii="宋体" w:hAnsi="宋体" w:eastAsia="宋体" w:cs="宋体"/>
          <w:b/>
          <w:bCs/>
          <w:sz w:val="52"/>
          <w:szCs w:val="52"/>
        </w:rPr>
        <w:t>矿山地质环境治理与土地复垦计划</w:t>
      </w:r>
      <w:bookmarkEnd w:id="24"/>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pPr>
    </w:p>
    <w:p>
      <w:pPr>
        <w:spacing w:line="240" w:lineRule="auto"/>
        <w:ind w:firstLine="0" w:firstLineChars="0"/>
        <w:jc w:val="center"/>
        <w:rPr>
          <w:rFonts w:hint="eastAsia" w:ascii="宋体" w:hAnsi="宋体" w:eastAsia="宋体" w:cs="宋体"/>
          <w:b/>
          <w:bCs/>
          <w:sz w:val="30"/>
          <w:szCs w:val="30"/>
        </w:rPr>
      </w:pPr>
      <w:r>
        <w:rPr>
          <w:rFonts w:hint="eastAsia" w:ascii="宋体" w:hAnsi="宋体" w:eastAsia="宋体" w:cs="宋体"/>
          <w:b/>
          <w:bCs/>
          <w:sz w:val="30"/>
          <w:szCs w:val="30"/>
        </w:rPr>
        <w:t>中铁资源苏尼特左旗芒来矿业有限公司</w:t>
      </w:r>
    </w:p>
    <w:p>
      <w:pPr>
        <w:spacing w:line="240" w:lineRule="auto"/>
        <w:ind w:firstLine="0" w:firstLineChars="0"/>
        <w:jc w:val="center"/>
        <w:rPr>
          <w:rFonts w:hint="eastAsia" w:ascii="宋体" w:hAnsi="宋体" w:eastAsia="宋体" w:cs="宋体"/>
          <w:sz w:val="30"/>
          <w:szCs w:val="30"/>
        </w:rPr>
      </w:pPr>
      <w:r>
        <w:rPr>
          <w:rFonts w:hint="eastAsia" w:ascii="宋体" w:hAnsi="宋体" w:eastAsia="宋体" w:cs="宋体"/>
          <w:b/>
          <w:bCs/>
          <w:sz w:val="30"/>
          <w:szCs w:val="30"/>
        </w:rPr>
        <w:t>二○二三年十二月</w:t>
      </w:r>
      <w:r>
        <w:rPr>
          <w:rFonts w:hint="eastAsia" w:ascii="宋体" w:hAnsi="宋体" w:eastAsia="宋体" w:cs="宋体"/>
          <w:sz w:val="30"/>
          <w:szCs w:val="30"/>
        </w:rPr>
        <w:br w:type="page"/>
      </w:r>
    </w:p>
    <w:sdt>
      <w:sdtPr>
        <w:rPr>
          <w:rFonts w:hint="eastAsia" w:ascii="宋体" w:hAnsi="宋体" w:eastAsia="宋体" w:cs="宋体"/>
          <w:color w:val="auto"/>
          <w:kern w:val="2"/>
          <w:sz w:val="28"/>
          <w:szCs w:val="22"/>
          <w:lang w:val="zh-CN"/>
        </w:rPr>
        <w:id w:val="173693503"/>
        <w:docPartObj>
          <w:docPartGallery w:val="Table of Contents"/>
          <w:docPartUnique/>
        </w:docPartObj>
      </w:sdtPr>
      <w:sdtEndPr>
        <w:rPr>
          <w:rFonts w:hint="eastAsia" w:ascii="宋体" w:hAnsi="宋体" w:eastAsia="宋体" w:cs="宋体"/>
          <w:b/>
          <w:bCs/>
          <w:color w:val="auto"/>
          <w:kern w:val="2"/>
          <w:sz w:val="28"/>
          <w:szCs w:val="22"/>
          <w:lang w:val="zh-CN"/>
        </w:rPr>
      </w:sdtEndPr>
      <w:sdtContent>
        <w:p>
          <w:pPr>
            <w:pStyle w:val="25"/>
            <w:jc w:val="center"/>
            <w:rPr>
              <w:rFonts w:hint="eastAsia" w:ascii="宋体" w:hAnsi="宋体" w:eastAsia="宋体" w:cs="宋体"/>
              <w:b/>
              <w:bCs/>
              <w:color w:val="auto"/>
            </w:rPr>
          </w:pPr>
          <w:r>
            <w:rPr>
              <w:rFonts w:hint="eastAsia" w:ascii="宋体" w:hAnsi="宋体" w:eastAsia="宋体" w:cs="宋体"/>
              <w:b/>
              <w:bCs/>
              <w:color w:val="auto"/>
              <w:lang w:val="zh-CN"/>
            </w:rPr>
            <w:t>正 文 目 录</w:t>
          </w:r>
        </w:p>
        <w:p>
          <w:pPr>
            <w:pStyle w:val="13"/>
            <w:rPr>
              <w:rFonts w:hint="eastAsia" w:ascii="宋体" w:hAnsi="宋体" w:eastAsia="宋体" w:cs="宋体"/>
            </w:rPr>
          </w:pPr>
        </w:p>
        <w:p>
          <w:pPr>
            <w:pStyle w:val="13"/>
            <w:tabs>
              <w:tab w:val="right" w:leader="dot" w:pos="8312"/>
              <w:tab w:val="clear" w:pos="8296"/>
            </w:tabs>
            <w:rPr>
              <w:sz w:val="24"/>
              <w:szCs w:val="24"/>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_Toc19708 </w:instrText>
          </w:r>
          <w:r>
            <w:rPr>
              <w:rFonts w:hint="eastAsia" w:ascii="宋体" w:hAnsi="宋体" w:eastAsia="宋体" w:cs="宋体"/>
              <w:sz w:val="24"/>
              <w:szCs w:val="24"/>
            </w:rPr>
            <w:fldChar w:fldCharType="separate"/>
          </w:r>
          <w:r>
            <w:rPr>
              <w:rFonts w:hint="eastAsia" w:ascii="宋体" w:hAnsi="宋体" w:eastAsia="宋体" w:cs="宋体"/>
              <w:sz w:val="24"/>
              <w:szCs w:val="24"/>
            </w:rPr>
            <w:t>第一章 矿山基本概况</w:t>
          </w:r>
          <w:r>
            <w:rPr>
              <w:sz w:val="24"/>
              <w:szCs w:val="24"/>
            </w:rPr>
            <w:tab/>
          </w:r>
          <w:r>
            <w:rPr>
              <w:sz w:val="24"/>
              <w:szCs w:val="24"/>
            </w:rPr>
            <w:fldChar w:fldCharType="begin"/>
          </w:r>
          <w:r>
            <w:rPr>
              <w:sz w:val="24"/>
              <w:szCs w:val="24"/>
            </w:rPr>
            <w:instrText xml:space="preserve"> PAGEREF _Toc19708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_Toc31614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一、位置与交通</w:t>
          </w:r>
          <w:r>
            <w:rPr>
              <w:sz w:val="24"/>
              <w:szCs w:val="24"/>
            </w:rPr>
            <w:tab/>
          </w:r>
          <w:r>
            <w:rPr>
              <w:sz w:val="24"/>
              <w:szCs w:val="24"/>
            </w:rPr>
            <w:fldChar w:fldCharType="begin"/>
          </w:r>
          <w:r>
            <w:rPr>
              <w:sz w:val="24"/>
              <w:szCs w:val="24"/>
            </w:rPr>
            <w:instrText xml:space="preserve"> PAGEREF _Toc31614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_Toc19698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二、采矿权设置情况</w:t>
          </w:r>
          <w:r>
            <w:rPr>
              <w:sz w:val="24"/>
              <w:szCs w:val="24"/>
            </w:rPr>
            <w:tab/>
          </w:r>
          <w:r>
            <w:rPr>
              <w:sz w:val="24"/>
              <w:szCs w:val="24"/>
            </w:rPr>
            <w:fldChar w:fldCharType="begin"/>
          </w:r>
          <w:r>
            <w:rPr>
              <w:sz w:val="24"/>
              <w:szCs w:val="24"/>
            </w:rPr>
            <w:instrText xml:space="preserve"> PAGEREF _Toc19698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_Toc3293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三、矿山开发利用情况</w:t>
          </w:r>
          <w:r>
            <w:rPr>
              <w:sz w:val="24"/>
              <w:szCs w:val="24"/>
            </w:rPr>
            <w:tab/>
          </w:r>
          <w:r>
            <w:rPr>
              <w:sz w:val="24"/>
              <w:szCs w:val="24"/>
            </w:rPr>
            <w:fldChar w:fldCharType="begin"/>
          </w:r>
          <w:r>
            <w:rPr>
              <w:sz w:val="24"/>
              <w:szCs w:val="24"/>
            </w:rPr>
            <w:instrText xml:space="preserve"> PAGEREF _Toc3293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_Toc3772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四、《方案》编制及适用情况</w:t>
          </w:r>
          <w:r>
            <w:rPr>
              <w:sz w:val="24"/>
              <w:szCs w:val="24"/>
            </w:rPr>
            <w:tab/>
          </w:r>
          <w:r>
            <w:rPr>
              <w:sz w:val="24"/>
              <w:szCs w:val="24"/>
            </w:rPr>
            <w:fldChar w:fldCharType="begin"/>
          </w:r>
          <w:r>
            <w:rPr>
              <w:sz w:val="24"/>
              <w:szCs w:val="24"/>
            </w:rPr>
            <w:instrText xml:space="preserve"> PAGEREF _Toc3772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bCs/>
              <w:sz w:val="24"/>
              <w:szCs w:val="24"/>
              <w:lang w:val="zh-CN"/>
            </w:rPr>
            <w:fldChar w:fldCharType="end"/>
          </w:r>
        </w:p>
        <w:p>
          <w:pPr>
            <w:pStyle w:val="13"/>
            <w:tabs>
              <w:tab w:val="right" w:leader="dot" w:pos="8312"/>
              <w:tab w:val="clear" w:pos="8296"/>
            </w:tabs>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_Toc26857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第二章 矿山开采现状</w:t>
          </w:r>
          <w:r>
            <w:rPr>
              <w:sz w:val="24"/>
              <w:szCs w:val="24"/>
            </w:rPr>
            <w:tab/>
          </w:r>
          <w:r>
            <w:rPr>
              <w:sz w:val="24"/>
              <w:szCs w:val="24"/>
            </w:rPr>
            <w:fldChar w:fldCharType="begin"/>
          </w:r>
          <w:r>
            <w:rPr>
              <w:sz w:val="24"/>
              <w:szCs w:val="24"/>
            </w:rPr>
            <w:instrText xml:space="preserve"> PAGEREF _Toc26857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_Toc3312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一、矿山开采历史</w:t>
          </w:r>
          <w:r>
            <w:rPr>
              <w:sz w:val="24"/>
              <w:szCs w:val="24"/>
            </w:rPr>
            <w:tab/>
          </w:r>
          <w:r>
            <w:rPr>
              <w:sz w:val="24"/>
              <w:szCs w:val="24"/>
            </w:rPr>
            <w:fldChar w:fldCharType="begin"/>
          </w:r>
          <w:r>
            <w:rPr>
              <w:sz w:val="24"/>
              <w:szCs w:val="24"/>
            </w:rPr>
            <w:instrText xml:space="preserve"> PAGEREF _Toc3312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_Toc21350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二、采空区分布情况及现状开采情况</w:t>
          </w:r>
          <w:r>
            <w:rPr>
              <w:sz w:val="24"/>
              <w:szCs w:val="24"/>
            </w:rPr>
            <w:tab/>
          </w:r>
          <w:r>
            <w:rPr>
              <w:sz w:val="24"/>
              <w:szCs w:val="24"/>
            </w:rPr>
            <w:fldChar w:fldCharType="begin"/>
          </w:r>
          <w:r>
            <w:rPr>
              <w:sz w:val="24"/>
              <w:szCs w:val="24"/>
            </w:rPr>
            <w:instrText xml:space="preserve"> PAGEREF _Toc21350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_Toc18903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三、2024年度开采计划</w:t>
          </w:r>
          <w:r>
            <w:rPr>
              <w:sz w:val="24"/>
              <w:szCs w:val="24"/>
            </w:rPr>
            <w:tab/>
          </w:r>
          <w:r>
            <w:rPr>
              <w:sz w:val="24"/>
              <w:szCs w:val="24"/>
            </w:rPr>
            <w:fldChar w:fldCharType="begin"/>
          </w:r>
          <w:r>
            <w:rPr>
              <w:sz w:val="24"/>
              <w:szCs w:val="24"/>
            </w:rPr>
            <w:instrText xml:space="preserve"> PAGEREF _Toc18903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_Toc9403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四、征占地情况</w:t>
          </w:r>
          <w:r>
            <w:rPr>
              <w:sz w:val="24"/>
              <w:szCs w:val="24"/>
            </w:rPr>
            <w:tab/>
          </w:r>
          <w:r>
            <w:rPr>
              <w:sz w:val="24"/>
              <w:szCs w:val="24"/>
            </w:rPr>
            <w:fldChar w:fldCharType="begin"/>
          </w:r>
          <w:r>
            <w:rPr>
              <w:sz w:val="24"/>
              <w:szCs w:val="24"/>
            </w:rPr>
            <w:instrText xml:space="preserve"> PAGEREF _Toc9403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bCs/>
              <w:sz w:val="24"/>
              <w:szCs w:val="24"/>
              <w:lang w:val="zh-CN"/>
            </w:rPr>
            <w:fldChar w:fldCharType="end"/>
          </w:r>
        </w:p>
        <w:p>
          <w:pPr>
            <w:pStyle w:val="13"/>
            <w:tabs>
              <w:tab w:val="right" w:leader="dot" w:pos="8312"/>
              <w:tab w:val="clear" w:pos="8296"/>
            </w:tabs>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_Toc18011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第三章 矿山土地损毁现状</w:t>
          </w:r>
          <w:r>
            <w:rPr>
              <w:sz w:val="24"/>
              <w:szCs w:val="24"/>
            </w:rPr>
            <w:tab/>
          </w:r>
          <w:r>
            <w:rPr>
              <w:sz w:val="24"/>
              <w:szCs w:val="24"/>
            </w:rPr>
            <w:fldChar w:fldCharType="begin"/>
          </w:r>
          <w:r>
            <w:rPr>
              <w:sz w:val="24"/>
              <w:szCs w:val="24"/>
            </w:rPr>
            <w:instrText xml:space="preserve"> PAGEREF _Toc18011 \h </w:instrText>
          </w:r>
          <w:r>
            <w:rPr>
              <w:sz w:val="24"/>
              <w:szCs w:val="24"/>
            </w:rPr>
            <w:fldChar w:fldCharType="separate"/>
          </w:r>
          <w:r>
            <w:rPr>
              <w:sz w:val="24"/>
              <w:szCs w:val="24"/>
            </w:rPr>
            <w:t>8</w:t>
          </w:r>
          <w:r>
            <w:rPr>
              <w:sz w:val="24"/>
              <w:szCs w:val="24"/>
            </w:rPr>
            <w:fldChar w:fldCharType="end"/>
          </w:r>
          <w:r>
            <w:rPr>
              <w:rFonts w:hint="eastAsia" w:ascii="宋体" w:hAnsi="宋体" w:eastAsia="宋体" w:cs="宋体"/>
              <w:bCs/>
              <w:sz w:val="24"/>
              <w:szCs w:val="24"/>
              <w:lang w:val="zh-CN"/>
            </w:rPr>
            <w:fldChar w:fldCharType="end"/>
          </w:r>
        </w:p>
        <w:p>
          <w:pPr>
            <w:pStyle w:val="13"/>
            <w:tabs>
              <w:tab w:val="right" w:leader="dot" w:pos="8312"/>
              <w:tab w:val="clear" w:pos="8296"/>
            </w:tabs>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_Toc17349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第四章  以往矿山地质环境治理及土复垦成效</w:t>
          </w:r>
          <w:r>
            <w:rPr>
              <w:sz w:val="24"/>
              <w:szCs w:val="24"/>
            </w:rPr>
            <w:tab/>
          </w:r>
          <w:r>
            <w:rPr>
              <w:sz w:val="24"/>
              <w:szCs w:val="24"/>
            </w:rPr>
            <w:fldChar w:fldCharType="begin"/>
          </w:r>
          <w:r>
            <w:rPr>
              <w:sz w:val="24"/>
              <w:szCs w:val="24"/>
            </w:rPr>
            <w:instrText xml:space="preserve"> PAGEREF _Toc17349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_Toc30999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一、矿山地质环境治理及土地复垦现状</w:t>
          </w:r>
          <w:r>
            <w:rPr>
              <w:sz w:val="24"/>
              <w:szCs w:val="24"/>
            </w:rPr>
            <w:tab/>
          </w:r>
          <w:r>
            <w:rPr>
              <w:sz w:val="24"/>
              <w:szCs w:val="24"/>
            </w:rPr>
            <w:fldChar w:fldCharType="begin"/>
          </w:r>
          <w:r>
            <w:rPr>
              <w:sz w:val="24"/>
              <w:szCs w:val="24"/>
            </w:rPr>
            <w:instrText xml:space="preserve"> PAGEREF _Toc30999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_Toc4895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二、矿山地质环境及土地复垦动态监测开展情况</w:t>
          </w:r>
          <w:r>
            <w:rPr>
              <w:sz w:val="24"/>
              <w:szCs w:val="24"/>
            </w:rPr>
            <w:tab/>
          </w:r>
          <w:r>
            <w:rPr>
              <w:sz w:val="24"/>
              <w:szCs w:val="24"/>
            </w:rPr>
            <w:fldChar w:fldCharType="begin"/>
          </w:r>
          <w:r>
            <w:rPr>
              <w:sz w:val="24"/>
              <w:szCs w:val="24"/>
            </w:rPr>
            <w:instrText xml:space="preserve"> PAGEREF _Toc4895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_Toc3838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三、以往矿山地质环境治理与土地复垦成效评述</w:t>
          </w:r>
          <w:r>
            <w:rPr>
              <w:sz w:val="24"/>
              <w:szCs w:val="24"/>
            </w:rPr>
            <w:tab/>
          </w:r>
          <w:r>
            <w:rPr>
              <w:sz w:val="24"/>
              <w:szCs w:val="24"/>
            </w:rPr>
            <w:fldChar w:fldCharType="begin"/>
          </w:r>
          <w:r>
            <w:rPr>
              <w:sz w:val="24"/>
              <w:szCs w:val="24"/>
            </w:rPr>
            <w:instrText xml:space="preserve"> PAGEREF _Toc3838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bCs/>
              <w:sz w:val="24"/>
              <w:szCs w:val="24"/>
              <w:lang w:val="zh-CN"/>
            </w:rPr>
            <w:fldChar w:fldCharType="end"/>
          </w:r>
        </w:p>
        <w:p>
          <w:pPr>
            <w:pStyle w:val="13"/>
            <w:tabs>
              <w:tab w:val="right" w:leader="dot" w:pos="8312"/>
              <w:tab w:val="clear" w:pos="8296"/>
            </w:tabs>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_Toc5546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第五章  《方案》治理工作部署</w:t>
          </w:r>
          <w:r>
            <w:rPr>
              <w:sz w:val="24"/>
              <w:szCs w:val="24"/>
            </w:rPr>
            <w:tab/>
          </w:r>
          <w:r>
            <w:rPr>
              <w:sz w:val="24"/>
              <w:szCs w:val="24"/>
            </w:rPr>
            <w:fldChar w:fldCharType="begin"/>
          </w:r>
          <w:r>
            <w:rPr>
              <w:sz w:val="24"/>
              <w:szCs w:val="24"/>
            </w:rPr>
            <w:instrText xml:space="preserve"> PAGEREF _Toc5546 \h </w:instrText>
          </w:r>
          <w:r>
            <w:rPr>
              <w:sz w:val="24"/>
              <w:szCs w:val="24"/>
            </w:rPr>
            <w:fldChar w:fldCharType="separate"/>
          </w:r>
          <w:r>
            <w:rPr>
              <w:sz w:val="24"/>
              <w:szCs w:val="24"/>
            </w:rPr>
            <w:t>36</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_Toc19008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一、地质环境治理工作</w:t>
          </w:r>
          <w:r>
            <w:rPr>
              <w:sz w:val="24"/>
              <w:szCs w:val="24"/>
            </w:rPr>
            <w:tab/>
          </w:r>
          <w:r>
            <w:rPr>
              <w:sz w:val="24"/>
              <w:szCs w:val="24"/>
            </w:rPr>
            <w:fldChar w:fldCharType="begin"/>
          </w:r>
          <w:r>
            <w:rPr>
              <w:sz w:val="24"/>
              <w:szCs w:val="24"/>
            </w:rPr>
            <w:instrText xml:space="preserve"> PAGEREF _Toc19008 \h </w:instrText>
          </w:r>
          <w:r>
            <w:rPr>
              <w:sz w:val="24"/>
              <w:szCs w:val="24"/>
            </w:rPr>
            <w:fldChar w:fldCharType="separate"/>
          </w:r>
          <w:r>
            <w:rPr>
              <w:sz w:val="24"/>
              <w:szCs w:val="24"/>
            </w:rPr>
            <w:t>36</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_Toc27742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二、土地复垦工作</w:t>
          </w:r>
          <w:r>
            <w:rPr>
              <w:sz w:val="24"/>
              <w:szCs w:val="24"/>
            </w:rPr>
            <w:tab/>
          </w:r>
          <w:r>
            <w:rPr>
              <w:sz w:val="24"/>
              <w:szCs w:val="24"/>
            </w:rPr>
            <w:fldChar w:fldCharType="begin"/>
          </w:r>
          <w:r>
            <w:rPr>
              <w:sz w:val="24"/>
              <w:szCs w:val="24"/>
            </w:rPr>
            <w:instrText xml:space="preserve"> PAGEREF _Toc27742 \h </w:instrText>
          </w:r>
          <w:r>
            <w:rPr>
              <w:sz w:val="24"/>
              <w:szCs w:val="24"/>
            </w:rPr>
            <w:fldChar w:fldCharType="separate"/>
          </w:r>
          <w:r>
            <w:rPr>
              <w:sz w:val="24"/>
              <w:szCs w:val="24"/>
            </w:rPr>
            <w:t>38</w:t>
          </w:r>
          <w:r>
            <w:rPr>
              <w:sz w:val="24"/>
              <w:szCs w:val="24"/>
            </w:rPr>
            <w:fldChar w:fldCharType="end"/>
          </w:r>
          <w:r>
            <w:rPr>
              <w:rFonts w:hint="eastAsia" w:ascii="宋体" w:hAnsi="宋体" w:eastAsia="宋体" w:cs="宋体"/>
              <w:bCs/>
              <w:sz w:val="24"/>
              <w:szCs w:val="24"/>
              <w:lang w:val="zh-CN"/>
            </w:rPr>
            <w:fldChar w:fldCharType="end"/>
          </w:r>
        </w:p>
        <w:p>
          <w:pPr>
            <w:pStyle w:val="13"/>
            <w:tabs>
              <w:tab w:val="right" w:leader="dot" w:pos="8312"/>
              <w:tab w:val="clear" w:pos="8296"/>
            </w:tabs>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_Toc14677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rPr>
            <w:t>第六章  本年度矿山地质环境治理与土地复垦工作安排</w:t>
          </w:r>
          <w:r>
            <w:rPr>
              <w:sz w:val="24"/>
              <w:szCs w:val="24"/>
            </w:rPr>
            <w:tab/>
          </w:r>
          <w:r>
            <w:rPr>
              <w:sz w:val="24"/>
              <w:szCs w:val="24"/>
            </w:rPr>
            <w:fldChar w:fldCharType="begin"/>
          </w:r>
          <w:r>
            <w:rPr>
              <w:sz w:val="24"/>
              <w:szCs w:val="24"/>
            </w:rPr>
            <w:instrText xml:space="preserve"> PAGEREF _Toc14677 \h </w:instrText>
          </w:r>
          <w:r>
            <w:rPr>
              <w:sz w:val="24"/>
              <w:szCs w:val="24"/>
            </w:rPr>
            <w:fldChar w:fldCharType="separate"/>
          </w:r>
          <w:r>
            <w:rPr>
              <w:sz w:val="24"/>
              <w:szCs w:val="24"/>
            </w:rPr>
            <w:t>44</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_Toc8111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一、矿山地质环境治理与土地复垦工作计划</w:t>
          </w:r>
          <w:r>
            <w:rPr>
              <w:sz w:val="24"/>
              <w:szCs w:val="24"/>
            </w:rPr>
            <w:tab/>
          </w:r>
          <w:r>
            <w:rPr>
              <w:sz w:val="24"/>
              <w:szCs w:val="24"/>
            </w:rPr>
            <w:fldChar w:fldCharType="begin"/>
          </w:r>
          <w:r>
            <w:rPr>
              <w:sz w:val="24"/>
              <w:szCs w:val="24"/>
            </w:rPr>
            <w:instrText xml:space="preserve"> PAGEREF _Toc8111 \h </w:instrText>
          </w:r>
          <w:r>
            <w:rPr>
              <w:sz w:val="24"/>
              <w:szCs w:val="24"/>
            </w:rPr>
            <w:fldChar w:fldCharType="separate"/>
          </w:r>
          <w:r>
            <w:rPr>
              <w:sz w:val="24"/>
              <w:szCs w:val="24"/>
            </w:rPr>
            <w:t>44</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_Toc3921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二、矿山地质环境及土地复垦动态监测工作计划</w:t>
          </w:r>
          <w:r>
            <w:rPr>
              <w:sz w:val="24"/>
              <w:szCs w:val="24"/>
            </w:rPr>
            <w:tab/>
          </w:r>
          <w:r>
            <w:rPr>
              <w:sz w:val="24"/>
              <w:szCs w:val="24"/>
            </w:rPr>
            <w:fldChar w:fldCharType="begin"/>
          </w:r>
          <w:r>
            <w:rPr>
              <w:sz w:val="24"/>
              <w:szCs w:val="24"/>
            </w:rPr>
            <w:instrText xml:space="preserve"> PAGEREF _Toc3921 \h </w:instrText>
          </w:r>
          <w:r>
            <w:rPr>
              <w:sz w:val="24"/>
              <w:szCs w:val="24"/>
            </w:rPr>
            <w:fldChar w:fldCharType="separate"/>
          </w:r>
          <w:r>
            <w:rPr>
              <w:sz w:val="24"/>
              <w:szCs w:val="24"/>
            </w:rPr>
            <w:t>49</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_Toc30986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三、经费投入和基金缴存、提取计划</w:t>
          </w:r>
          <w:r>
            <w:rPr>
              <w:sz w:val="24"/>
              <w:szCs w:val="24"/>
            </w:rPr>
            <w:tab/>
          </w:r>
          <w:r>
            <w:rPr>
              <w:sz w:val="24"/>
              <w:szCs w:val="24"/>
            </w:rPr>
            <w:fldChar w:fldCharType="begin"/>
          </w:r>
          <w:r>
            <w:rPr>
              <w:sz w:val="24"/>
              <w:szCs w:val="24"/>
            </w:rPr>
            <w:instrText xml:space="preserve"> PAGEREF _Toc30986 \h </w:instrText>
          </w:r>
          <w:r>
            <w:rPr>
              <w:sz w:val="24"/>
              <w:szCs w:val="24"/>
            </w:rPr>
            <w:fldChar w:fldCharType="separate"/>
          </w:r>
          <w:r>
            <w:rPr>
              <w:sz w:val="24"/>
              <w:szCs w:val="24"/>
            </w:rPr>
            <w:t>49</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rPr>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_Toc28658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四、治理工程实施方式与时间安排</w:t>
          </w:r>
          <w:r>
            <w:rPr>
              <w:sz w:val="24"/>
              <w:szCs w:val="24"/>
            </w:rPr>
            <w:tab/>
          </w:r>
          <w:r>
            <w:rPr>
              <w:sz w:val="24"/>
              <w:szCs w:val="24"/>
            </w:rPr>
            <w:fldChar w:fldCharType="begin"/>
          </w:r>
          <w:r>
            <w:rPr>
              <w:sz w:val="24"/>
              <w:szCs w:val="24"/>
            </w:rPr>
            <w:instrText xml:space="preserve"> PAGEREF _Toc28658 \h </w:instrText>
          </w:r>
          <w:r>
            <w:rPr>
              <w:sz w:val="24"/>
              <w:szCs w:val="24"/>
            </w:rPr>
            <w:fldChar w:fldCharType="separate"/>
          </w:r>
          <w:r>
            <w:rPr>
              <w:sz w:val="24"/>
              <w:szCs w:val="24"/>
            </w:rPr>
            <w:t>50</w:t>
          </w:r>
          <w:r>
            <w:rPr>
              <w:sz w:val="24"/>
              <w:szCs w:val="24"/>
            </w:rPr>
            <w:fldChar w:fldCharType="end"/>
          </w:r>
          <w:r>
            <w:rPr>
              <w:rFonts w:hint="eastAsia" w:ascii="宋体" w:hAnsi="宋体" w:eastAsia="宋体" w:cs="宋体"/>
              <w:bCs/>
              <w:sz w:val="24"/>
              <w:szCs w:val="24"/>
              <w:lang w:val="zh-CN"/>
            </w:rPr>
            <w:fldChar w:fldCharType="end"/>
          </w:r>
        </w:p>
        <w:p>
          <w:pPr>
            <w:pStyle w:val="14"/>
            <w:keepNext w:val="0"/>
            <w:keepLines w:val="0"/>
            <w:pageBreakBefore w:val="0"/>
            <w:widowControl w:val="0"/>
            <w:tabs>
              <w:tab w:val="right" w:leader="dot" w:pos="8312"/>
            </w:tabs>
            <w:kinsoku/>
            <w:wordWrap/>
            <w:overflowPunct/>
            <w:topLinePunct w:val="0"/>
            <w:autoSpaceDE/>
            <w:autoSpaceDN/>
            <w:bidi w:val="0"/>
            <w:adjustRightInd/>
            <w:snapToGrid/>
            <w:ind w:left="0" w:leftChars="0"/>
            <w:textAlignment w:val="auto"/>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_Toc5424 </w:instrText>
          </w:r>
          <w:r>
            <w:rPr>
              <w:rFonts w:hint="eastAsia" w:ascii="宋体" w:hAnsi="宋体" w:eastAsia="宋体" w:cs="宋体"/>
              <w:bCs/>
              <w:sz w:val="24"/>
              <w:szCs w:val="24"/>
              <w:lang w:val="zh-CN"/>
            </w:rPr>
            <w:fldChar w:fldCharType="separate"/>
          </w:r>
          <w:r>
            <w:rPr>
              <w:rFonts w:hint="eastAsia" w:ascii="宋体" w:hAnsi="宋体" w:eastAsia="宋体" w:cs="宋体"/>
              <w:bCs/>
              <w:sz w:val="24"/>
              <w:szCs w:val="24"/>
            </w:rPr>
            <w:t>五、组织机构及保障措施</w:t>
          </w:r>
          <w:r>
            <w:rPr>
              <w:sz w:val="24"/>
              <w:szCs w:val="24"/>
            </w:rPr>
            <w:tab/>
          </w:r>
          <w:r>
            <w:rPr>
              <w:sz w:val="24"/>
              <w:szCs w:val="24"/>
            </w:rPr>
            <w:fldChar w:fldCharType="begin"/>
          </w:r>
          <w:r>
            <w:rPr>
              <w:sz w:val="24"/>
              <w:szCs w:val="24"/>
            </w:rPr>
            <w:instrText xml:space="preserve"> PAGEREF _Toc5424 \h </w:instrText>
          </w:r>
          <w:r>
            <w:rPr>
              <w:sz w:val="24"/>
              <w:szCs w:val="24"/>
            </w:rPr>
            <w:fldChar w:fldCharType="separate"/>
          </w:r>
          <w:r>
            <w:rPr>
              <w:sz w:val="24"/>
              <w:szCs w:val="24"/>
            </w:rPr>
            <w:t>51</w:t>
          </w:r>
          <w:r>
            <w:rPr>
              <w:sz w:val="24"/>
              <w:szCs w:val="24"/>
            </w:rPr>
            <w:fldChar w:fldCharType="end"/>
          </w:r>
          <w:r>
            <w:rPr>
              <w:rFonts w:hint="eastAsia" w:ascii="宋体" w:hAnsi="宋体" w:eastAsia="宋体" w:cs="宋体"/>
              <w:bCs/>
              <w:sz w:val="24"/>
              <w:szCs w:val="24"/>
              <w:lang w:val="zh-CN"/>
            </w:rPr>
            <w:fldChar w:fldCharType="end"/>
          </w:r>
        </w:p>
        <w:p>
          <w:pPr>
            <w:ind w:firstLine="560"/>
            <w:rPr>
              <w:rFonts w:hint="eastAsia" w:ascii="宋体" w:hAnsi="宋体" w:eastAsia="宋体" w:cs="宋体"/>
            </w:rPr>
          </w:pPr>
          <w:r>
            <w:rPr>
              <w:rFonts w:hint="eastAsia" w:ascii="宋体" w:hAnsi="宋体" w:eastAsia="宋体" w:cs="宋体"/>
              <w:bCs/>
              <w:lang w:val="zh-CN"/>
            </w:rPr>
            <w:fldChar w:fldCharType="end"/>
          </w:r>
        </w:p>
      </w:sdtContent>
    </w:sdt>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pStyle w:val="25"/>
        <w:jc w:val="center"/>
        <w:rPr>
          <w:rFonts w:hint="eastAsia" w:ascii="宋体" w:hAnsi="宋体" w:eastAsia="宋体" w:cs="宋体"/>
          <w:b/>
          <w:bCs/>
          <w:color w:val="auto"/>
        </w:rPr>
      </w:pPr>
      <w:r>
        <w:rPr>
          <w:rFonts w:hint="eastAsia" w:ascii="宋体" w:hAnsi="宋体" w:eastAsia="宋体" w:cs="宋体"/>
          <w:b/>
          <w:bCs/>
          <w:color w:val="auto"/>
          <w:lang w:val="zh-CN"/>
        </w:rPr>
        <w:t>附 图 目 录</w:t>
      </w:r>
    </w:p>
    <w:tbl>
      <w:tblPr>
        <w:tblStyle w:val="16"/>
        <w:tblW w:w="5012" w:type="pct"/>
        <w:tblInd w:w="0" w:type="dxa"/>
        <w:tblLayout w:type="autofit"/>
        <w:tblCellMar>
          <w:top w:w="0" w:type="dxa"/>
          <w:left w:w="0" w:type="dxa"/>
          <w:bottom w:w="0" w:type="dxa"/>
          <w:right w:w="0" w:type="dxa"/>
        </w:tblCellMar>
      </w:tblPr>
      <w:tblGrid>
        <w:gridCol w:w="996"/>
        <w:gridCol w:w="813"/>
        <w:gridCol w:w="5030"/>
        <w:gridCol w:w="1503"/>
      </w:tblGrid>
      <w:tr>
        <w:tblPrEx>
          <w:tblCellMar>
            <w:top w:w="0" w:type="dxa"/>
            <w:left w:w="0" w:type="dxa"/>
            <w:bottom w:w="0" w:type="dxa"/>
            <w:right w:w="0" w:type="dxa"/>
          </w:tblCellMar>
        </w:tblPrEx>
        <w:trPr>
          <w:trHeight w:val="530" w:hRule="atLeast"/>
        </w:trPr>
        <w:tc>
          <w:tcPr>
            <w:tcW w:w="59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b/>
                <w:bCs/>
                <w:kern w:val="0"/>
                <w:szCs w:val="28"/>
              </w:rPr>
            </w:pPr>
            <w:r>
              <w:rPr>
                <w:rFonts w:hint="eastAsia" w:ascii="宋体" w:hAnsi="宋体" w:eastAsia="宋体" w:cs="宋体"/>
                <w:b/>
                <w:bCs/>
                <w:kern w:val="0"/>
                <w:szCs w:val="28"/>
              </w:rPr>
              <w:t>顺序号</w:t>
            </w:r>
          </w:p>
        </w:tc>
        <w:tc>
          <w:tcPr>
            <w:tcW w:w="48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b/>
                <w:bCs/>
                <w:kern w:val="0"/>
                <w:szCs w:val="28"/>
              </w:rPr>
            </w:pPr>
            <w:r>
              <w:rPr>
                <w:rFonts w:hint="eastAsia" w:ascii="宋体" w:hAnsi="宋体" w:eastAsia="宋体" w:cs="宋体"/>
                <w:b/>
                <w:bCs/>
                <w:kern w:val="0"/>
                <w:szCs w:val="28"/>
              </w:rPr>
              <w:t>图号</w:t>
            </w:r>
          </w:p>
        </w:tc>
        <w:tc>
          <w:tcPr>
            <w:tcW w:w="3014"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b/>
                <w:bCs/>
                <w:kern w:val="0"/>
                <w:szCs w:val="28"/>
              </w:rPr>
            </w:pPr>
            <w:r>
              <w:rPr>
                <w:rFonts w:hint="eastAsia" w:ascii="宋体" w:hAnsi="宋体" w:eastAsia="宋体" w:cs="宋体"/>
                <w:b/>
                <w:bCs/>
                <w:kern w:val="0"/>
                <w:szCs w:val="28"/>
              </w:rPr>
              <w:t>图       名</w:t>
            </w:r>
          </w:p>
        </w:tc>
        <w:tc>
          <w:tcPr>
            <w:tcW w:w="900"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b/>
                <w:bCs/>
                <w:kern w:val="0"/>
                <w:szCs w:val="28"/>
              </w:rPr>
            </w:pPr>
            <w:r>
              <w:rPr>
                <w:rFonts w:hint="eastAsia" w:ascii="宋体" w:hAnsi="宋体" w:eastAsia="宋体" w:cs="宋体"/>
                <w:b/>
                <w:bCs/>
                <w:kern w:val="0"/>
                <w:szCs w:val="28"/>
              </w:rPr>
              <w:t>比例尺</w:t>
            </w:r>
          </w:p>
        </w:tc>
      </w:tr>
      <w:tr>
        <w:tblPrEx>
          <w:tblCellMar>
            <w:top w:w="0" w:type="dxa"/>
            <w:left w:w="0" w:type="dxa"/>
            <w:bottom w:w="0" w:type="dxa"/>
            <w:right w:w="0" w:type="dxa"/>
          </w:tblCellMar>
        </w:tblPrEx>
        <w:trPr>
          <w:trHeight w:val="530" w:hRule="atLeast"/>
        </w:trPr>
        <w:tc>
          <w:tcPr>
            <w:tcW w:w="59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kern w:val="0"/>
                <w:szCs w:val="28"/>
              </w:rPr>
            </w:pPr>
            <w:r>
              <w:rPr>
                <w:rFonts w:hint="eastAsia" w:ascii="宋体" w:hAnsi="宋体" w:eastAsia="宋体" w:cs="宋体"/>
                <w:kern w:val="0"/>
                <w:szCs w:val="28"/>
              </w:rPr>
              <w:t>1</w:t>
            </w:r>
          </w:p>
        </w:tc>
        <w:tc>
          <w:tcPr>
            <w:tcW w:w="48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kern w:val="0"/>
                <w:szCs w:val="28"/>
              </w:rPr>
            </w:pPr>
            <w:r>
              <w:rPr>
                <w:rFonts w:hint="eastAsia" w:ascii="宋体" w:hAnsi="宋体" w:eastAsia="宋体" w:cs="宋体"/>
                <w:kern w:val="0"/>
                <w:szCs w:val="28"/>
              </w:rPr>
              <w:t>1</w:t>
            </w:r>
          </w:p>
        </w:tc>
        <w:tc>
          <w:tcPr>
            <w:tcW w:w="3014"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kern w:val="0"/>
                <w:szCs w:val="28"/>
              </w:rPr>
            </w:pPr>
            <w:r>
              <w:rPr>
                <w:rFonts w:hint="eastAsia" w:ascii="宋体" w:hAnsi="宋体" w:eastAsia="宋体" w:cs="宋体"/>
              </w:rPr>
              <w:t>2024年度中铁资源苏尼特左旗芒来矿业有限公司芒来煤矿矿山地质环境治理与土地复垦工作部署图</w:t>
            </w:r>
          </w:p>
        </w:tc>
        <w:tc>
          <w:tcPr>
            <w:tcW w:w="900"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kern w:val="0"/>
                <w:szCs w:val="28"/>
              </w:rPr>
            </w:pPr>
            <w:r>
              <w:rPr>
                <w:rFonts w:hint="eastAsia" w:ascii="宋体" w:hAnsi="宋体" w:eastAsia="宋体" w:cs="宋体"/>
                <w:kern w:val="0"/>
                <w:szCs w:val="28"/>
              </w:rPr>
              <w:t>1:10000</w:t>
            </w:r>
          </w:p>
        </w:tc>
      </w:tr>
      <w:tr>
        <w:tblPrEx>
          <w:tblCellMar>
            <w:top w:w="0" w:type="dxa"/>
            <w:left w:w="0" w:type="dxa"/>
            <w:bottom w:w="0" w:type="dxa"/>
            <w:right w:w="0" w:type="dxa"/>
          </w:tblCellMar>
        </w:tblPrEx>
        <w:trPr>
          <w:trHeight w:val="530" w:hRule="atLeast"/>
        </w:trPr>
        <w:tc>
          <w:tcPr>
            <w:tcW w:w="59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default" w:ascii="宋体" w:hAnsi="宋体" w:eastAsia="宋体" w:cs="宋体"/>
                <w:kern w:val="0"/>
                <w:szCs w:val="28"/>
                <w:lang w:val="en-US"/>
              </w:rPr>
            </w:pPr>
            <w:r>
              <w:rPr>
                <w:rFonts w:hint="default" w:ascii="宋体" w:hAnsi="宋体" w:cs="宋体"/>
                <w:kern w:val="0"/>
                <w:szCs w:val="28"/>
                <w:lang w:val="en-US"/>
              </w:rPr>
              <w:t>2</w:t>
            </w:r>
          </w:p>
        </w:tc>
        <w:tc>
          <w:tcPr>
            <w:tcW w:w="487"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default" w:ascii="宋体" w:hAnsi="宋体" w:eastAsia="宋体" w:cs="宋体"/>
                <w:kern w:val="0"/>
                <w:szCs w:val="28"/>
                <w:lang w:val="en-US"/>
              </w:rPr>
            </w:pPr>
            <w:r>
              <w:rPr>
                <w:rFonts w:hint="default" w:ascii="宋体" w:hAnsi="宋体" w:cs="宋体"/>
                <w:kern w:val="0"/>
                <w:szCs w:val="28"/>
                <w:lang w:val="en-US"/>
              </w:rPr>
              <w:t>2</w:t>
            </w:r>
          </w:p>
        </w:tc>
        <w:tc>
          <w:tcPr>
            <w:tcW w:w="3014"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rPr>
            </w:pPr>
            <w:r>
              <w:rPr>
                <w:rFonts w:hint="eastAsia" w:ascii="宋体" w:hAnsi="宋体" w:eastAsia="宋体" w:cs="宋体"/>
              </w:rPr>
              <w:t>中铁资源苏尼特左旗芒来矿业有限公司芒来煤矿</w:t>
            </w:r>
            <w:r>
              <w:rPr>
                <w:rFonts w:hint="eastAsia" w:ascii="宋体" w:hAnsi="宋体" w:cs="宋体"/>
                <w:lang w:eastAsia="zh-CN"/>
              </w:rPr>
              <w:t>（涉草保供）生态修复工作部署图</w:t>
            </w:r>
          </w:p>
        </w:tc>
        <w:tc>
          <w:tcPr>
            <w:tcW w:w="900" w:type="pct"/>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0" w:lineRule="atLeast"/>
              <w:ind w:firstLine="0" w:firstLineChars="0"/>
              <w:jc w:val="center"/>
              <w:rPr>
                <w:rFonts w:hint="eastAsia" w:ascii="宋体" w:hAnsi="宋体" w:eastAsia="宋体" w:cs="宋体"/>
                <w:kern w:val="0"/>
                <w:szCs w:val="28"/>
              </w:rPr>
            </w:pPr>
            <w:r>
              <w:rPr>
                <w:rFonts w:hint="eastAsia" w:ascii="宋体" w:hAnsi="宋体" w:eastAsia="宋体" w:cs="宋体"/>
                <w:kern w:val="0"/>
                <w:szCs w:val="28"/>
              </w:rPr>
              <w:t>1:10000</w:t>
            </w:r>
          </w:p>
        </w:tc>
      </w:tr>
    </w:tbl>
    <w:p>
      <w:pPr>
        <w:ind w:firstLine="560"/>
        <w:rPr>
          <w:rFonts w:hint="eastAsia" w:ascii="宋体" w:hAnsi="宋体" w:eastAsia="宋体" w:cs="宋体"/>
        </w:rPr>
      </w:pPr>
    </w:p>
    <w:p>
      <w:pPr>
        <w:ind w:firstLine="560"/>
        <w:rPr>
          <w:rFonts w:hint="eastAsia" w:ascii="宋体" w:hAnsi="宋体" w:eastAsia="宋体" w:cs="宋体"/>
        </w:rPr>
      </w:pPr>
    </w:p>
    <w:p>
      <w:pPr>
        <w:ind w:firstLine="560"/>
        <w:rPr>
          <w:rFonts w:hint="eastAsia" w:ascii="宋体" w:hAnsi="宋体" w:eastAsia="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docGrid w:type="lines" w:linePitch="312" w:charSpace="0"/>
        </w:sectPr>
      </w:pPr>
    </w:p>
    <w:p>
      <w:pPr>
        <w:pStyle w:val="2"/>
        <w:ind w:firstLine="0" w:firstLineChars="0"/>
        <w:rPr>
          <w:rFonts w:hint="eastAsia" w:ascii="宋体" w:hAnsi="宋体" w:eastAsia="宋体" w:cs="宋体"/>
        </w:rPr>
      </w:pPr>
      <w:bookmarkStart w:id="0" w:name="_Toc19708"/>
      <w:r>
        <w:rPr>
          <w:rFonts w:hint="eastAsia" w:ascii="宋体" w:hAnsi="宋体" w:eastAsia="宋体" w:cs="宋体"/>
        </w:rPr>
        <w:t>第一章 矿山基本概况</w:t>
      </w:r>
      <w:bookmarkEnd w:id="0"/>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 w:name="_Toc31614"/>
      <w:r>
        <w:rPr>
          <w:rFonts w:hint="eastAsia" w:ascii="宋体" w:hAnsi="宋体" w:eastAsia="宋体" w:cs="宋体"/>
          <w:b/>
          <w:bCs/>
        </w:rPr>
        <w:t>一、位置与交通</w:t>
      </w:r>
      <w:bookmarkEnd w:id="1"/>
    </w:p>
    <w:p>
      <w:pPr>
        <w:ind w:firstLine="560"/>
        <w:rPr>
          <w:rFonts w:hint="eastAsia" w:ascii="宋体" w:hAnsi="宋体" w:eastAsia="宋体" w:cs="宋体"/>
        </w:rPr>
      </w:pPr>
      <w:r>
        <w:rPr>
          <w:rFonts w:hint="eastAsia" w:ascii="宋体" w:hAnsi="宋体" w:eastAsia="宋体" w:cs="宋体"/>
        </w:rPr>
        <w:t>芒来煤矿位于白音乌拉煤田西部，南东距锡林郭勒盟苏尼特左旗满都拉图镇约35km，行政区划隶属于内蒙古自治区锡林郭勒盟苏尼特左旗赛罕高毕苏木巴彦芒来嘎查。其地理极值坐标（2000国家大地坐标系）为：</w:t>
      </w:r>
    </w:p>
    <w:p>
      <w:pPr>
        <w:ind w:firstLine="560"/>
        <w:rPr>
          <w:rFonts w:hint="eastAsia" w:ascii="宋体" w:hAnsi="宋体" w:eastAsia="宋体" w:cs="宋体"/>
        </w:rPr>
      </w:pPr>
      <w:r>
        <w:rPr>
          <w:rFonts w:hint="eastAsia" w:ascii="宋体" w:hAnsi="宋体" w:eastAsia="宋体" w:cs="宋体"/>
        </w:rPr>
        <w:t>东经：113°01′22″～113°27′02″；</w:t>
      </w:r>
    </w:p>
    <w:p>
      <w:pPr>
        <w:ind w:firstLine="560"/>
        <w:rPr>
          <w:rFonts w:hint="eastAsia" w:ascii="宋体" w:hAnsi="宋体" w:eastAsia="宋体" w:cs="宋体"/>
        </w:rPr>
      </w:pPr>
      <w:r>
        <w:rPr>
          <w:rFonts w:hint="eastAsia" w:ascii="宋体" w:hAnsi="宋体" w:eastAsia="宋体" w:cs="宋体"/>
        </w:rPr>
        <w:t>北纬：44°01′01″～44°02′57″。</w:t>
      </w:r>
    </w:p>
    <w:p>
      <w:pPr>
        <w:ind w:firstLine="560"/>
        <w:rPr>
          <w:rFonts w:hint="eastAsia" w:ascii="宋体" w:hAnsi="宋体" w:eastAsia="宋体" w:cs="宋体"/>
        </w:rPr>
      </w:pPr>
      <w:r>
        <w:rPr>
          <w:rFonts w:hint="eastAsia" w:ascii="宋体" w:hAnsi="宋体" w:eastAsia="宋体" w:cs="宋体"/>
        </w:rPr>
        <w:t>矿区南东距苏尼特左旗满都拉图镇约35km，并与S101（满都拉图-赛罕塔拉）及S309（满都拉图-二连浩特）相连，满都拉图镇距二连浩特市128km、距锡林浩特市203km、距苏尼特右旗赛汗塔拉镇160km。铁路方面，郭（郭尔奔敖包）-白（白音芒来）铁路97km于2009年建成通车，并与集（集宁）-二（二连浩特）连接；锡（锡林浩特）-二（二连浩特）铁路于2016年建成通车，该条铁路途经苏尼特左旗满都拉图镇和阿巴嘎旗别力古台镇到达锡林浩特市，在苏尼特左旗境内与郭白铁路交叉相连接。此外，锡林浩特市、二连浩特市机场每周均有定期航班往返于北京市和呼和浩特市等地，矿区交通较为方便。详见图1-1。</w:t>
      </w:r>
    </w:p>
    <w:p>
      <w:pPr>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4563745" cy="601091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63745" cy="6010910"/>
                    </a:xfrm>
                    <a:prstGeom prst="rect">
                      <a:avLst/>
                    </a:prstGeom>
                    <a:noFill/>
                    <a:ln>
                      <a:noFill/>
                    </a:ln>
                  </pic:spPr>
                </pic:pic>
              </a:graphicData>
            </a:graphic>
          </wp:inline>
        </w:drawing>
      </w:r>
    </w:p>
    <w:p>
      <w:pPr>
        <w:ind w:firstLine="0" w:firstLineChars="0"/>
        <w:jc w:val="center"/>
        <w:rPr>
          <w:rFonts w:hint="eastAsia" w:ascii="宋体" w:hAnsi="宋体" w:eastAsia="宋体" w:cs="宋体"/>
          <w:b/>
          <w:bCs/>
        </w:rPr>
      </w:pPr>
      <w:r>
        <w:rPr>
          <w:rFonts w:hint="eastAsia" w:ascii="宋体" w:hAnsi="宋体" w:eastAsia="宋体" w:cs="宋体"/>
          <w:b/>
          <w:bCs/>
        </w:rPr>
        <w:t>图1-1  交通位置图</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2" w:name="_Toc19698"/>
      <w:r>
        <w:rPr>
          <w:rFonts w:hint="eastAsia" w:ascii="宋体" w:hAnsi="宋体" w:eastAsia="宋体" w:cs="宋体"/>
          <w:b/>
          <w:bCs/>
        </w:rPr>
        <w:t>二、采矿权设置情况</w:t>
      </w:r>
      <w:bookmarkEnd w:id="2"/>
    </w:p>
    <w:p>
      <w:pPr>
        <w:ind w:firstLine="560"/>
        <w:rPr>
          <w:rFonts w:hint="eastAsia" w:ascii="宋体" w:hAnsi="宋体" w:eastAsia="宋体" w:cs="宋体"/>
        </w:rPr>
      </w:pPr>
      <w:r>
        <w:rPr>
          <w:rFonts w:hint="eastAsia" w:ascii="宋体" w:hAnsi="宋体" w:eastAsia="宋体" w:cs="宋体"/>
        </w:rPr>
        <w:t>芒来煤矿现采矿许可证证载信息如下：</w:t>
      </w:r>
    </w:p>
    <w:p>
      <w:pPr>
        <w:ind w:firstLine="560"/>
        <w:rPr>
          <w:rFonts w:hint="eastAsia" w:ascii="宋体" w:hAnsi="宋体" w:eastAsia="宋体" w:cs="宋体"/>
        </w:rPr>
      </w:pPr>
      <w:r>
        <w:rPr>
          <w:rFonts w:hint="eastAsia" w:ascii="宋体" w:hAnsi="宋体" w:eastAsia="宋体" w:cs="宋体"/>
        </w:rPr>
        <w:t>采矿许可证号：C1500002011021120106041；</w:t>
      </w:r>
    </w:p>
    <w:p>
      <w:pPr>
        <w:ind w:firstLine="560"/>
        <w:rPr>
          <w:rFonts w:hint="eastAsia" w:ascii="宋体" w:hAnsi="宋体" w:eastAsia="宋体" w:cs="宋体"/>
        </w:rPr>
      </w:pPr>
      <w:r>
        <w:rPr>
          <w:rFonts w:hint="eastAsia" w:ascii="宋体" w:hAnsi="宋体" w:eastAsia="宋体" w:cs="宋体"/>
        </w:rPr>
        <w:t>采矿权人：中铁资源苏尼特左旗芒来矿业有限公司；</w:t>
      </w:r>
    </w:p>
    <w:p>
      <w:pPr>
        <w:ind w:firstLine="560"/>
        <w:rPr>
          <w:rFonts w:hint="eastAsia" w:ascii="宋体" w:hAnsi="宋体" w:eastAsia="宋体" w:cs="宋体"/>
        </w:rPr>
      </w:pPr>
      <w:r>
        <w:rPr>
          <w:rFonts w:hint="eastAsia" w:ascii="宋体" w:hAnsi="宋体" w:eastAsia="宋体" w:cs="宋体"/>
        </w:rPr>
        <w:t>矿山名称：中铁资源苏尼特左旗芒来矿业有限公司芒来煤矿；</w:t>
      </w:r>
    </w:p>
    <w:p>
      <w:pPr>
        <w:ind w:firstLine="560"/>
        <w:rPr>
          <w:rFonts w:hint="eastAsia" w:ascii="宋体" w:hAnsi="宋体" w:eastAsia="宋体" w:cs="宋体"/>
        </w:rPr>
      </w:pPr>
      <w:r>
        <w:rPr>
          <w:rFonts w:hint="eastAsia" w:ascii="宋体" w:hAnsi="宋体" w:eastAsia="宋体" w:cs="宋体"/>
        </w:rPr>
        <w:t>经济类型：有限责任公司；</w:t>
      </w:r>
    </w:p>
    <w:p>
      <w:pPr>
        <w:ind w:firstLine="560"/>
        <w:rPr>
          <w:rFonts w:hint="eastAsia" w:ascii="宋体" w:hAnsi="宋体" w:eastAsia="宋体" w:cs="宋体"/>
        </w:rPr>
      </w:pPr>
      <w:r>
        <w:rPr>
          <w:rFonts w:hint="eastAsia" w:ascii="宋体" w:hAnsi="宋体" w:eastAsia="宋体" w:cs="宋体"/>
        </w:rPr>
        <w:t>开采矿种：煤；</w:t>
      </w:r>
    </w:p>
    <w:p>
      <w:pPr>
        <w:ind w:firstLine="560"/>
        <w:rPr>
          <w:rFonts w:hint="eastAsia" w:ascii="宋体" w:hAnsi="宋体" w:eastAsia="宋体" w:cs="宋体"/>
        </w:rPr>
      </w:pPr>
      <w:r>
        <w:rPr>
          <w:rFonts w:hint="eastAsia" w:ascii="宋体" w:hAnsi="宋体" w:eastAsia="宋体" w:cs="宋体"/>
        </w:rPr>
        <w:t>开采方式：露天开采；</w:t>
      </w:r>
    </w:p>
    <w:p>
      <w:pPr>
        <w:ind w:firstLine="560"/>
        <w:rPr>
          <w:rFonts w:hint="eastAsia" w:ascii="宋体" w:hAnsi="宋体" w:eastAsia="宋体" w:cs="宋体"/>
        </w:rPr>
      </w:pPr>
      <w:r>
        <w:rPr>
          <w:rFonts w:hint="eastAsia" w:ascii="宋体" w:hAnsi="宋体" w:eastAsia="宋体" w:cs="宋体"/>
        </w:rPr>
        <w:t>生产规模：1000万吨/年；</w:t>
      </w:r>
    </w:p>
    <w:p>
      <w:pPr>
        <w:ind w:firstLine="560"/>
        <w:rPr>
          <w:rFonts w:hint="eastAsia" w:ascii="宋体" w:hAnsi="宋体" w:eastAsia="宋体" w:cs="宋体"/>
          <w:vertAlign w:val="superscript"/>
        </w:rPr>
      </w:pPr>
      <w:r>
        <w:rPr>
          <w:rFonts w:hint="eastAsia" w:ascii="宋体" w:hAnsi="宋体" w:eastAsia="宋体" w:cs="宋体"/>
        </w:rPr>
        <w:t>矿区面积：15.6273km</w:t>
      </w:r>
      <w:r>
        <w:rPr>
          <w:rFonts w:hint="eastAsia" w:ascii="宋体" w:hAnsi="宋体" w:eastAsia="宋体" w:cs="宋体"/>
          <w:vertAlign w:val="superscript"/>
        </w:rPr>
        <w:t>2</w:t>
      </w:r>
      <w:r>
        <w:rPr>
          <w:rFonts w:hint="eastAsia" w:ascii="宋体" w:hAnsi="宋体" w:eastAsia="宋体" w:cs="宋体"/>
        </w:rPr>
        <w:t>；</w:t>
      </w:r>
    </w:p>
    <w:p>
      <w:pPr>
        <w:ind w:firstLine="560"/>
        <w:rPr>
          <w:rFonts w:hint="eastAsia" w:ascii="宋体" w:hAnsi="宋体" w:eastAsia="宋体" w:cs="宋体"/>
        </w:rPr>
      </w:pPr>
      <w:r>
        <w:rPr>
          <w:rFonts w:hint="eastAsia" w:ascii="宋体" w:hAnsi="宋体" w:eastAsia="宋体" w:cs="宋体"/>
        </w:rPr>
        <w:t>开采深度：945～621m标高；</w:t>
      </w:r>
    </w:p>
    <w:p>
      <w:pPr>
        <w:pStyle w:val="4"/>
        <w:ind w:firstLine="560"/>
        <w:rPr>
          <w:rFonts w:hint="eastAsia" w:ascii="宋体" w:hAnsi="宋体" w:eastAsia="宋体" w:cs="宋体"/>
          <w:sz w:val="28"/>
        </w:rPr>
      </w:pPr>
      <w:r>
        <w:rPr>
          <w:rFonts w:hint="eastAsia" w:ascii="宋体" w:hAnsi="宋体" w:eastAsia="宋体" w:cs="宋体"/>
          <w:sz w:val="28"/>
        </w:rPr>
        <w:t>有效期限：2020年11月9日至2050年11月9日；</w:t>
      </w:r>
    </w:p>
    <w:p>
      <w:pPr>
        <w:ind w:firstLine="560"/>
        <w:rPr>
          <w:rFonts w:hint="eastAsia" w:ascii="宋体" w:hAnsi="宋体" w:eastAsia="宋体" w:cs="宋体"/>
        </w:rPr>
      </w:pPr>
      <w:r>
        <w:rPr>
          <w:rFonts w:hint="eastAsia" w:ascii="宋体" w:hAnsi="宋体" w:eastAsia="宋体" w:cs="宋体"/>
        </w:rPr>
        <w:t>矿区范围由22个拐点坐标圈定，详见表1-1。</w:t>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表1-1  矿区范围拐点坐标表</w:t>
      </w:r>
    </w:p>
    <w:tbl>
      <w:tblPr>
        <w:tblStyle w:val="16"/>
        <w:tblW w:w="5000" w:type="pct"/>
        <w:jc w:val="center"/>
        <w:tblLayout w:type="autofit"/>
        <w:tblCellMar>
          <w:top w:w="0" w:type="dxa"/>
          <w:left w:w="108" w:type="dxa"/>
          <w:bottom w:w="0" w:type="dxa"/>
          <w:right w:w="108" w:type="dxa"/>
        </w:tblCellMar>
      </w:tblPr>
      <w:tblGrid>
        <w:gridCol w:w="951"/>
        <w:gridCol w:w="1473"/>
        <w:gridCol w:w="1800"/>
        <w:gridCol w:w="951"/>
        <w:gridCol w:w="1549"/>
        <w:gridCol w:w="1798"/>
      </w:tblGrid>
      <w:tr>
        <w:tblPrEx>
          <w:tblCellMar>
            <w:top w:w="0" w:type="dxa"/>
            <w:left w:w="108" w:type="dxa"/>
            <w:bottom w:w="0" w:type="dxa"/>
            <w:right w:w="108" w:type="dxa"/>
          </w:tblCellMar>
        </w:tblPrEx>
        <w:trPr>
          <w:trHeight w:val="397" w:hRule="atLeast"/>
          <w:jc w:val="center"/>
        </w:trPr>
        <w:tc>
          <w:tcPr>
            <w:tcW w:w="5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点号</w:t>
            </w:r>
          </w:p>
        </w:tc>
        <w:tc>
          <w:tcPr>
            <w:tcW w:w="1920"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2000</w:t>
            </w:r>
            <w:r>
              <w:rPr>
                <w:rFonts w:hint="eastAsia" w:ascii="宋体" w:hAnsi="宋体" w:eastAsia="宋体" w:cs="宋体"/>
                <w:color w:val="000000"/>
                <w:kern w:val="0"/>
                <w:sz w:val="24"/>
              </w:rPr>
              <w:t>国家大地</w:t>
            </w:r>
            <w:r>
              <w:rPr>
                <w:rFonts w:hint="eastAsia" w:ascii="宋体" w:hAnsi="宋体" w:eastAsia="宋体" w:cs="宋体"/>
                <w:color w:val="000000"/>
                <w:kern w:val="0"/>
                <w:sz w:val="24"/>
                <w:szCs w:val="24"/>
              </w:rPr>
              <w:t>坐标系</w:t>
            </w:r>
            <w:r>
              <w:rPr>
                <w:rFonts w:hint="eastAsia" w:ascii="宋体" w:hAnsi="宋体" w:eastAsia="宋体" w:cs="宋体"/>
                <w:color w:val="000000"/>
                <w:kern w:val="0"/>
                <w:sz w:val="24"/>
              </w:rPr>
              <w:t>3°带</w:t>
            </w:r>
          </w:p>
        </w:tc>
        <w:tc>
          <w:tcPr>
            <w:tcW w:w="558" w:type="pct"/>
            <w:vMerge w:val="restar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color w:val="000000"/>
                <w:kern w:val="0"/>
                <w:sz w:val="24"/>
                <w:szCs w:val="24"/>
              </w:rPr>
              <w:t>点号</w:t>
            </w:r>
          </w:p>
        </w:tc>
        <w:tc>
          <w:tcPr>
            <w:tcW w:w="1964" w:type="pct"/>
            <w:gridSpan w:val="2"/>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color w:val="000000"/>
                <w:kern w:val="0"/>
                <w:sz w:val="24"/>
                <w:szCs w:val="24"/>
              </w:rPr>
              <w:t>2000</w:t>
            </w:r>
            <w:r>
              <w:rPr>
                <w:rFonts w:hint="eastAsia" w:ascii="宋体" w:hAnsi="宋体" w:eastAsia="宋体" w:cs="宋体"/>
                <w:color w:val="000000"/>
                <w:kern w:val="0"/>
                <w:sz w:val="24"/>
              </w:rPr>
              <w:t>国家大地</w:t>
            </w:r>
            <w:r>
              <w:rPr>
                <w:rFonts w:hint="eastAsia" w:ascii="宋体" w:hAnsi="宋体" w:eastAsia="宋体" w:cs="宋体"/>
                <w:color w:val="000000"/>
                <w:kern w:val="0"/>
                <w:sz w:val="24"/>
                <w:szCs w:val="24"/>
              </w:rPr>
              <w:t>坐标系</w:t>
            </w:r>
            <w:r>
              <w:rPr>
                <w:rFonts w:hint="eastAsia" w:ascii="宋体" w:hAnsi="宋体" w:eastAsia="宋体" w:cs="宋体"/>
                <w:color w:val="000000"/>
                <w:kern w:val="0"/>
                <w:sz w:val="24"/>
              </w:rPr>
              <w:t>3°带</w:t>
            </w:r>
          </w:p>
        </w:tc>
      </w:tr>
      <w:tr>
        <w:tblPrEx>
          <w:tblCellMar>
            <w:top w:w="0" w:type="dxa"/>
            <w:left w:w="108" w:type="dxa"/>
            <w:bottom w:w="0" w:type="dxa"/>
            <w:right w:w="108" w:type="dxa"/>
          </w:tblCellMar>
        </w:tblPrEx>
        <w:trPr>
          <w:trHeight w:val="397" w:hRule="atLeast"/>
          <w:jc w:val="center"/>
        </w:trPr>
        <w:tc>
          <w:tcPr>
            <w:tcW w:w="55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p>
        </w:tc>
        <w:tc>
          <w:tcPr>
            <w:tcW w:w="86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X</w:t>
            </w:r>
          </w:p>
        </w:tc>
        <w:tc>
          <w:tcPr>
            <w:tcW w:w="105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Y</w:t>
            </w:r>
          </w:p>
        </w:tc>
        <w:tc>
          <w:tcPr>
            <w:tcW w:w="558" w:type="pct"/>
            <w:vMerge w:val="continue"/>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color w:val="000000"/>
                <w:kern w:val="0"/>
                <w:sz w:val="24"/>
                <w:szCs w:val="24"/>
              </w:rPr>
              <w:t>X</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color w:val="000000"/>
                <w:kern w:val="0"/>
                <w:sz w:val="24"/>
                <w:szCs w:val="24"/>
              </w:rPr>
              <w:t>Y</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w w:val="99"/>
                <w:kern w:val="0"/>
                <w:sz w:val="24"/>
                <w:szCs w:val="24"/>
              </w:rPr>
              <w:t>1</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4878683.07</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38437853.01</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kern w:val="0"/>
                <w:sz w:val="24"/>
                <w:szCs w:val="24"/>
              </w:rPr>
              <w:t>12</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4875961.54</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38442584.24</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w w:val="99"/>
                <w:kern w:val="0"/>
                <w:sz w:val="24"/>
                <w:szCs w:val="24"/>
              </w:rPr>
              <w:t>2</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4878652.35</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38437967.80</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rPr>
            </w:pPr>
            <w:r>
              <w:rPr>
                <w:rFonts w:hint="eastAsia" w:ascii="宋体" w:hAnsi="宋体" w:eastAsia="宋体" w:cs="宋体"/>
                <w:kern w:val="0"/>
                <w:sz w:val="24"/>
                <w:szCs w:val="24"/>
              </w:rPr>
              <w:t>13</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4876007.35</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38437795.83</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w w:val="99"/>
                <w:kern w:val="0"/>
                <w:sz w:val="24"/>
                <w:szCs w:val="24"/>
              </w:rPr>
              <w:t>3</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4878626.99</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38437976.07</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14</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4876655.06</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38437337.23</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4</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4878626.16</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38438065.67</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15</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4877869.62</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38436578.00</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5</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4878608.85</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38439935.34</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16</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4877862.96</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38437167.19</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6</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4879411.33</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38439942.65</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17</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4877893.82</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38437167.49</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7</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4879563.24</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38440211.19</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18</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4877914.02</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38437173.65</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8</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4879199.21</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38440462.37</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19</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4878674.50</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38436371.06</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w w:val="99"/>
                <w:kern w:val="0"/>
                <w:sz w:val="24"/>
                <w:szCs w:val="24"/>
              </w:rPr>
              <w:t>9</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4878744.74</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38440717.57</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20</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4879006.23</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38436491.18</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w w:val="99"/>
                <w:kern w:val="0"/>
                <w:sz w:val="24"/>
                <w:szCs w:val="24"/>
              </w:rPr>
            </w:pPr>
            <w:r>
              <w:rPr>
                <w:rFonts w:hint="eastAsia" w:ascii="宋体" w:hAnsi="宋体" w:eastAsia="宋体" w:cs="宋体"/>
                <w:kern w:val="0"/>
                <w:sz w:val="24"/>
                <w:szCs w:val="24"/>
              </w:rPr>
              <w:t>10</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4879305.14</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38441575.52</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21</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4878821.50</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38437470.79</w:t>
            </w:r>
          </w:p>
        </w:tc>
      </w:tr>
      <w:tr>
        <w:tblPrEx>
          <w:tblCellMar>
            <w:top w:w="0" w:type="dxa"/>
            <w:left w:w="108" w:type="dxa"/>
            <w:bottom w:w="0" w:type="dxa"/>
            <w:right w:w="108" w:type="dxa"/>
          </w:tblCellMar>
        </w:tblPrEx>
        <w:trPr>
          <w:trHeight w:val="397" w:hRule="atLeast"/>
          <w:jc w:val="center"/>
        </w:trPr>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4877666.86</w:t>
            </w:r>
          </w:p>
        </w:tc>
        <w:tc>
          <w:tcPr>
            <w:tcW w:w="105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38442599.18</w:t>
            </w:r>
          </w:p>
        </w:tc>
        <w:tc>
          <w:tcPr>
            <w:tcW w:w="558"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22</w:t>
            </w:r>
          </w:p>
        </w:tc>
        <w:tc>
          <w:tcPr>
            <w:tcW w:w="909"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4878778.56</w:t>
            </w:r>
          </w:p>
        </w:tc>
        <w:tc>
          <w:tcPr>
            <w:tcW w:w="1055"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kern w:val="0"/>
                <w:sz w:val="24"/>
                <w:szCs w:val="24"/>
              </w:rPr>
              <w:t>38437496.24</w:t>
            </w:r>
          </w:p>
        </w:tc>
      </w:tr>
      <w:tr>
        <w:tblPrEx>
          <w:tblCellMar>
            <w:top w:w="0" w:type="dxa"/>
            <w:left w:w="108" w:type="dxa"/>
            <w:bottom w:w="0" w:type="dxa"/>
            <w:right w:w="108" w:type="dxa"/>
          </w:tblCellMar>
        </w:tblPrEx>
        <w:trPr>
          <w:trHeight w:val="397"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矿区面积：15.6273km</w:t>
            </w:r>
            <w:r>
              <w:rPr>
                <w:rFonts w:hint="eastAsia" w:ascii="宋体" w:hAnsi="宋体" w:eastAsia="宋体" w:cs="宋体"/>
                <w:sz w:val="24"/>
                <w:szCs w:val="24"/>
                <w:vertAlign w:val="superscript"/>
              </w:rPr>
              <w:t>2</w:t>
            </w:r>
            <w:r>
              <w:rPr>
                <w:rFonts w:hint="eastAsia" w:ascii="宋体" w:hAnsi="宋体" w:eastAsia="宋体" w:cs="宋体"/>
                <w:sz w:val="24"/>
                <w:szCs w:val="24"/>
              </w:rPr>
              <w:t>；开采深度：945～621m标高；</w:t>
            </w:r>
          </w:p>
        </w:tc>
      </w:tr>
    </w:tbl>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3" w:name="_Toc3293"/>
      <w:r>
        <w:rPr>
          <w:rFonts w:hint="eastAsia" w:ascii="宋体" w:hAnsi="宋体" w:eastAsia="宋体" w:cs="宋体"/>
          <w:b/>
          <w:bCs/>
        </w:rPr>
        <w:t>三、矿山开发利用情况</w:t>
      </w:r>
      <w:bookmarkEnd w:id="3"/>
    </w:p>
    <w:p>
      <w:pPr>
        <w:ind w:firstLine="560"/>
        <w:rPr>
          <w:rFonts w:hint="eastAsia" w:ascii="宋体" w:hAnsi="宋体" w:eastAsia="宋体" w:cs="宋体"/>
          <w:color w:val="auto"/>
        </w:rPr>
      </w:pPr>
      <w:r>
        <w:rPr>
          <w:rFonts w:hint="eastAsia" w:ascii="宋体" w:hAnsi="宋体" w:eastAsia="宋体" w:cs="宋体"/>
        </w:rPr>
        <w:t>矿山为生产矿山，开采方式为露天开采，生产规模1000万吨/年。根据2023年储量年度报告，截至2023年12月31</w:t>
      </w:r>
      <w:r>
        <w:rPr>
          <w:rFonts w:hint="eastAsia" w:ascii="宋体" w:hAnsi="宋体" w:eastAsia="宋体" w:cs="宋体"/>
          <w:color w:val="auto"/>
        </w:rPr>
        <w:t>日，</w:t>
      </w:r>
      <w:r>
        <w:rPr>
          <w:rFonts w:hint="eastAsia" w:ascii="宋体" w:hAnsi="宋体" w:cs="宋体"/>
          <w:color w:val="auto"/>
          <w:lang w:val="en-US" w:eastAsia="zh-CN"/>
        </w:rPr>
        <w:t>剩余设计可采原煤量28689</w:t>
      </w:r>
      <w:r>
        <w:rPr>
          <w:rFonts w:hint="eastAsia" w:ascii="宋体" w:hAnsi="宋体" w:eastAsia="宋体" w:cs="宋体"/>
          <w:color w:val="auto"/>
          <w:lang w:val="en-US" w:eastAsia="zh-CN"/>
        </w:rPr>
        <w:t>万吨</w:t>
      </w:r>
      <w:r>
        <w:rPr>
          <w:rFonts w:hint="eastAsia" w:ascii="宋体" w:hAnsi="宋体" w:eastAsia="宋体" w:cs="宋体"/>
          <w:color w:val="auto"/>
        </w:rPr>
        <w:t>，储量备用系数取1.1</w:t>
      </w:r>
      <w:r>
        <w:rPr>
          <w:rFonts w:hint="eastAsia" w:ascii="宋体" w:hAnsi="宋体" w:eastAsia="宋体" w:cs="宋体"/>
          <w:color w:val="auto"/>
          <w:lang w:eastAsia="zh-CN"/>
        </w:rPr>
        <w:t>，</w:t>
      </w:r>
      <w:r>
        <w:rPr>
          <w:rFonts w:hint="eastAsia" w:ascii="宋体" w:hAnsi="宋体" w:eastAsia="宋体" w:cs="宋体"/>
          <w:color w:val="auto"/>
        </w:rPr>
        <w:t>剩余服务年限</w:t>
      </w:r>
      <w:r>
        <w:rPr>
          <w:rFonts w:hint="eastAsia" w:ascii="宋体" w:hAnsi="宋体" w:cs="宋体"/>
          <w:color w:val="auto"/>
          <w:lang w:val="en-US" w:eastAsia="zh-CN"/>
        </w:rPr>
        <w:t>2</w:t>
      </w:r>
      <w:r>
        <w:rPr>
          <w:rFonts w:hint="default" w:ascii="宋体" w:hAnsi="宋体" w:cs="宋体"/>
          <w:color w:val="auto"/>
          <w:lang w:val="en-US" w:eastAsia="zh-CN"/>
        </w:rPr>
        <w:t>5.04</w:t>
      </w:r>
      <w:r>
        <w:rPr>
          <w:rFonts w:hint="eastAsia" w:ascii="宋体" w:hAnsi="宋体" w:eastAsia="宋体" w:cs="宋体"/>
          <w:color w:val="auto"/>
        </w:rPr>
        <w:t>年。</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4" w:name="_Toc3772"/>
      <w:r>
        <w:rPr>
          <w:rFonts w:hint="eastAsia" w:ascii="宋体" w:hAnsi="宋体" w:eastAsia="宋体" w:cs="宋体"/>
          <w:b/>
          <w:bCs/>
        </w:rPr>
        <w:t>四、《方案》编制及适用情况</w:t>
      </w:r>
      <w:bookmarkEnd w:id="4"/>
    </w:p>
    <w:p>
      <w:pPr>
        <w:ind w:firstLine="560"/>
        <w:rPr>
          <w:rFonts w:hint="eastAsia" w:ascii="宋体" w:hAnsi="宋体" w:eastAsia="宋体" w:cs="宋体"/>
        </w:rPr>
      </w:pPr>
      <w:r>
        <w:rPr>
          <w:rFonts w:hint="eastAsia" w:ascii="宋体" w:hAnsi="宋体" w:eastAsia="宋体" w:cs="宋体"/>
        </w:rPr>
        <w:t>《中铁资源苏尼特左旗芒来矿业有限公司芒来煤矿矿山地质环境保护与土地复垦方案》由内蒙古地矿地质工程勘察有限责任公司于2022年12月编制，方案适用年限为5年，即2022年11月至2027年10月。</w:t>
      </w:r>
    </w:p>
    <w:p>
      <w:pPr>
        <w:ind w:firstLine="560"/>
        <w:rPr>
          <w:rFonts w:hint="eastAsia" w:ascii="宋体" w:hAnsi="宋体" w:eastAsia="宋体" w:cs="宋体"/>
        </w:rPr>
      </w:pPr>
    </w:p>
    <w:p>
      <w:pPr>
        <w:ind w:firstLine="560"/>
        <w:rPr>
          <w:rFonts w:hint="eastAsia" w:ascii="宋体" w:hAnsi="宋体" w:eastAsia="宋体" w:cs="宋体"/>
        </w:rPr>
      </w:pPr>
    </w:p>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pStyle w:val="2"/>
        <w:ind w:firstLine="0" w:firstLineChars="0"/>
        <w:rPr>
          <w:rFonts w:hint="eastAsia" w:ascii="宋体" w:hAnsi="宋体" w:eastAsia="宋体" w:cs="宋体"/>
        </w:rPr>
      </w:pPr>
      <w:bookmarkStart w:id="5" w:name="_Toc26857"/>
      <w:r>
        <w:rPr>
          <w:rFonts w:hint="eastAsia" w:ascii="宋体" w:hAnsi="宋体" w:eastAsia="宋体" w:cs="宋体"/>
        </w:rPr>
        <w:t>第二章 矿山开采现状</w:t>
      </w:r>
      <w:bookmarkEnd w:id="5"/>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6" w:name="_Toc3312"/>
      <w:r>
        <w:rPr>
          <w:rFonts w:hint="eastAsia" w:ascii="宋体" w:hAnsi="宋体" w:eastAsia="宋体" w:cs="宋体"/>
          <w:b/>
          <w:bCs/>
        </w:rPr>
        <w:t>一、矿山开采历史</w:t>
      </w:r>
      <w:bookmarkEnd w:id="6"/>
    </w:p>
    <w:p>
      <w:pPr>
        <w:ind w:firstLine="560"/>
        <w:rPr>
          <w:rFonts w:hint="eastAsia" w:ascii="宋体" w:hAnsi="宋体" w:eastAsia="宋体" w:cs="宋体"/>
        </w:rPr>
      </w:pPr>
      <w:r>
        <w:rPr>
          <w:rFonts w:hint="eastAsia" w:ascii="宋体" w:hAnsi="宋体" w:eastAsia="宋体" w:cs="宋体"/>
        </w:rPr>
        <w:t>中铁资源苏尼特左旗芒来矿业有限公司（以下简称“芒来公司”）前身为苏尼特左旗地方国营芒来煤矿，该矿1999年开工建设，当年投产，建设规模30×10</w:t>
      </w:r>
      <w:r>
        <w:rPr>
          <w:rFonts w:hint="eastAsia" w:ascii="宋体" w:hAnsi="宋体" w:eastAsia="宋体" w:cs="宋体"/>
          <w:vertAlign w:val="superscript"/>
        </w:rPr>
        <w:t>4</w:t>
      </w:r>
      <w:r>
        <w:rPr>
          <w:rFonts w:hint="eastAsia" w:ascii="宋体" w:hAnsi="宋体" w:eastAsia="宋体" w:cs="宋体"/>
        </w:rPr>
        <w:t>t/a。2012年通过技改产能提升至90×10</w:t>
      </w:r>
      <w:r>
        <w:rPr>
          <w:rFonts w:hint="eastAsia" w:ascii="宋体" w:hAnsi="宋体" w:eastAsia="宋体" w:cs="宋体"/>
          <w:vertAlign w:val="superscript"/>
        </w:rPr>
        <w:t>4</w:t>
      </w:r>
      <w:r>
        <w:rPr>
          <w:rFonts w:hint="eastAsia" w:ascii="宋体" w:hAnsi="宋体" w:eastAsia="宋体" w:cs="宋体"/>
        </w:rPr>
        <w:t>t/a，并于2018年4月9日取得由原内蒙古自治区国土资源厅颁发的采矿许可证（证号：C1500002011021120106041）。</w:t>
      </w:r>
    </w:p>
    <w:p>
      <w:pPr>
        <w:ind w:firstLine="560"/>
        <w:rPr>
          <w:rFonts w:hint="eastAsia" w:ascii="宋体" w:hAnsi="宋体" w:eastAsia="宋体" w:cs="宋体"/>
        </w:rPr>
      </w:pPr>
      <w:r>
        <w:rPr>
          <w:rFonts w:hint="eastAsia" w:ascii="宋体" w:hAnsi="宋体" w:eastAsia="宋体" w:cs="宋体"/>
        </w:rPr>
        <w:t>2019年1月16日芒来煤矿取得一期500万吨/年项目工程的核准。2019年9月，自然资源部以“自然资矿划字〔2019〕052号”文，对划定矿区范围予以批复。</w:t>
      </w:r>
    </w:p>
    <w:p>
      <w:pPr>
        <w:ind w:firstLine="560"/>
        <w:rPr>
          <w:rFonts w:hint="eastAsia" w:ascii="宋体" w:hAnsi="宋体" w:eastAsia="宋体" w:cs="宋体"/>
        </w:rPr>
      </w:pPr>
      <w:r>
        <w:rPr>
          <w:rFonts w:hint="eastAsia" w:ascii="宋体" w:hAnsi="宋体" w:eastAsia="宋体" w:cs="宋体"/>
        </w:rPr>
        <w:t>2020年11月10日取得内蒙古自治区自然资源厅颁发的《采矿许可证》，证号C1500002011021120106041，面积15.6273km</w:t>
      </w:r>
      <w:r>
        <w:rPr>
          <w:rFonts w:hint="eastAsia" w:ascii="宋体" w:hAnsi="宋体" w:eastAsia="宋体" w:cs="宋体"/>
          <w:vertAlign w:val="superscript"/>
        </w:rPr>
        <w:t>2</w:t>
      </w:r>
      <w:r>
        <w:rPr>
          <w:rFonts w:hint="eastAsia" w:ascii="宋体" w:hAnsi="宋体" w:eastAsia="宋体" w:cs="宋体"/>
        </w:rPr>
        <w:t>，批准开采深度945m～621m。</w:t>
      </w:r>
    </w:p>
    <w:p>
      <w:pPr>
        <w:ind w:firstLine="560"/>
        <w:rPr>
          <w:rFonts w:hint="eastAsia" w:ascii="宋体" w:hAnsi="宋体" w:eastAsia="宋体" w:cs="宋体"/>
        </w:rPr>
      </w:pPr>
      <w:r>
        <w:rPr>
          <w:rFonts w:hint="eastAsia" w:ascii="宋体" w:hAnsi="宋体" w:eastAsia="宋体" w:cs="宋体"/>
        </w:rPr>
        <w:t>2021年10月25日，国家发展和改革委员会下发了《关于调整煤矿项目建设规模加快释放先进产能有关事宜的通知》，要求保供煤矿抓紧向原核准（审批）机关申请调整建设规模，根据该通知，中铁资源苏尼特左旗芒来矿业有限公司芒来露天煤矿建设规模由</w:t>
      </w:r>
      <w:r>
        <w:rPr>
          <w:rFonts w:hint="eastAsia" w:ascii="宋体" w:hAnsi="宋体" w:cs="宋体"/>
          <w:lang w:val="en-US" w:eastAsia="zh-CN"/>
        </w:rPr>
        <w:t>5</w:t>
      </w:r>
      <w:r>
        <w:rPr>
          <w:rFonts w:hint="eastAsia" w:ascii="宋体" w:hAnsi="宋体" w:eastAsia="宋体" w:cs="宋体"/>
        </w:rPr>
        <w:t>.0Mt/a调整至10.0Mt/a。</w:t>
      </w:r>
    </w:p>
    <w:p>
      <w:pPr>
        <w:ind w:firstLine="560"/>
        <w:rPr>
          <w:rFonts w:hint="eastAsia" w:ascii="宋体" w:hAnsi="宋体" w:eastAsia="宋体" w:cs="宋体"/>
        </w:rPr>
      </w:pPr>
      <w:r>
        <w:rPr>
          <w:rFonts w:hint="eastAsia" w:ascii="宋体" w:hAnsi="宋体" w:eastAsia="宋体" w:cs="宋体"/>
        </w:rPr>
        <w:t>国家发展和改革委员会2022年10月8日发布《内蒙古白音乌拉矿区芒来露天煤矿项目调整建设规模的复函》（发改能源〔2022〕1559号），对该矿生产能力核定进行了批复。</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7" w:name="_Toc21350"/>
      <w:r>
        <w:rPr>
          <w:rFonts w:hint="eastAsia" w:ascii="宋体" w:hAnsi="宋体" w:eastAsia="宋体" w:cs="宋体"/>
          <w:b/>
          <w:bCs/>
        </w:rPr>
        <w:t>二、采空区分布情况及现状开采情况</w:t>
      </w:r>
      <w:bookmarkEnd w:id="7"/>
    </w:p>
    <w:p>
      <w:pPr>
        <w:ind w:firstLine="560"/>
        <w:rPr>
          <w:rFonts w:hint="eastAsia" w:ascii="宋体" w:hAnsi="宋体" w:eastAsia="宋体" w:cs="宋体"/>
        </w:rPr>
      </w:pPr>
      <w:r>
        <w:rPr>
          <w:rFonts w:hint="eastAsia" w:ascii="宋体" w:hAnsi="宋体" w:eastAsia="宋体" w:cs="宋体"/>
        </w:rPr>
        <w:t>（一）采空区分布情况</w:t>
      </w:r>
    </w:p>
    <w:p>
      <w:pPr>
        <w:pStyle w:val="15"/>
        <w:rPr>
          <w:rFonts w:hint="eastAsia" w:ascii="宋体" w:hAnsi="宋体" w:eastAsia="宋体" w:cs="宋体"/>
        </w:rPr>
      </w:pPr>
      <w:r>
        <w:rPr>
          <w:rFonts w:hint="eastAsia" w:ascii="宋体" w:hAnsi="宋体" w:eastAsia="宋体" w:cs="宋体"/>
        </w:rPr>
        <w:t>截至2023年12月31日，芒来煤矿已形成采空区面积</w:t>
      </w:r>
      <w:r>
        <w:rPr>
          <w:rFonts w:hint="eastAsia" w:ascii="宋体" w:hAnsi="宋体" w:cs="宋体"/>
          <w:lang w:eastAsia="zh-CN"/>
        </w:rPr>
        <w:t>约</w:t>
      </w:r>
      <w:r>
        <w:rPr>
          <w:rFonts w:hint="eastAsia" w:ascii="宋体" w:hAnsi="宋体" w:eastAsia="宋体" w:cs="宋体"/>
        </w:rPr>
        <w:t>3.37km</w:t>
      </w:r>
      <w:r>
        <w:rPr>
          <w:rFonts w:hint="eastAsia" w:ascii="宋体" w:hAnsi="宋体" w:eastAsia="宋体" w:cs="宋体"/>
          <w:vertAlign w:val="superscript"/>
        </w:rPr>
        <w:t>2</w:t>
      </w:r>
      <w:r>
        <w:rPr>
          <w:rFonts w:hint="eastAsia" w:ascii="宋体" w:hAnsi="宋体" w:eastAsia="宋体" w:cs="宋体"/>
        </w:rPr>
        <w:t>，均位于现状采坑的西侧，其中2.71km</w:t>
      </w:r>
      <w:r>
        <w:rPr>
          <w:rFonts w:hint="eastAsia" w:ascii="宋体" w:hAnsi="宋体" w:eastAsia="宋体" w:cs="宋体"/>
          <w:vertAlign w:val="superscript"/>
        </w:rPr>
        <w:t>2</w:t>
      </w:r>
      <w:r>
        <w:rPr>
          <w:rFonts w:hint="eastAsia" w:ascii="宋体" w:hAnsi="宋体" w:eastAsia="宋体" w:cs="宋体"/>
        </w:rPr>
        <w:t>已内排到地表，详见图2-1。</w:t>
      </w:r>
    </w:p>
    <w:p>
      <w:pPr>
        <w:pStyle w:val="15"/>
        <w:ind w:firstLine="0" w:firstLineChars="0"/>
        <w:rPr>
          <w:rFonts w:hint="eastAsia" w:ascii="宋体" w:hAnsi="宋体" w:eastAsia="宋体" w:cs="宋体"/>
        </w:rPr>
      </w:pPr>
      <w:r>
        <w:rPr>
          <w:rFonts w:hint="eastAsia" w:ascii="宋体" w:hAnsi="宋体" w:eastAsia="宋体" w:cs="宋体"/>
        </w:rPr>
        <w:drawing>
          <wp:inline distT="0" distB="0" distL="114300" distR="114300">
            <wp:extent cx="5264150" cy="3136900"/>
            <wp:effectExtent l="0" t="0" r="12700" b="6350"/>
            <wp:docPr id="1" name="图片 1" descr="采空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采空区"/>
                    <pic:cNvPicPr>
                      <a:picLocks noChangeAspect="1"/>
                    </pic:cNvPicPr>
                  </pic:nvPicPr>
                  <pic:blipFill>
                    <a:blip r:embed="rId14"/>
                    <a:stretch>
                      <a:fillRect/>
                    </a:stretch>
                  </pic:blipFill>
                  <pic:spPr>
                    <a:xfrm>
                      <a:off x="0" y="0"/>
                      <a:ext cx="5264150" cy="3136900"/>
                    </a:xfrm>
                    <a:prstGeom prst="rect">
                      <a:avLst/>
                    </a:prstGeom>
                  </pic:spPr>
                </pic:pic>
              </a:graphicData>
            </a:graphic>
          </wp:inline>
        </w:drawing>
      </w:r>
    </w:p>
    <w:p>
      <w:pPr>
        <w:pStyle w:val="15"/>
        <w:ind w:firstLine="0" w:firstLineChars="0"/>
        <w:jc w:val="center"/>
        <w:rPr>
          <w:rFonts w:hint="eastAsia" w:ascii="宋体" w:hAnsi="宋体" w:eastAsia="宋体" w:cs="宋体"/>
          <w:b/>
          <w:bCs/>
        </w:rPr>
      </w:pPr>
      <w:r>
        <w:rPr>
          <w:rFonts w:hint="eastAsia" w:ascii="宋体" w:hAnsi="宋体" w:eastAsia="宋体" w:cs="宋体"/>
          <w:b/>
          <w:bCs/>
        </w:rPr>
        <w:t>图2-1  采空区分布示意图</w:t>
      </w:r>
    </w:p>
    <w:p>
      <w:pPr>
        <w:pStyle w:val="15"/>
        <w:rPr>
          <w:rFonts w:hint="eastAsia" w:ascii="宋体" w:hAnsi="宋体" w:eastAsia="宋体" w:cs="宋体"/>
        </w:rPr>
      </w:pPr>
      <w:r>
        <w:rPr>
          <w:rFonts w:hint="eastAsia" w:ascii="宋体" w:hAnsi="宋体" w:eastAsia="宋体" w:cs="宋体"/>
        </w:rPr>
        <w:t>（二）现状开采情况</w:t>
      </w:r>
    </w:p>
    <w:p>
      <w:pPr>
        <w:ind w:firstLine="560"/>
        <w:rPr>
          <w:rFonts w:hint="eastAsia" w:ascii="宋体" w:hAnsi="宋体" w:eastAsia="宋体" w:cs="宋体"/>
        </w:rPr>
      </w:pPr>
      <w:r>
        <w:rPr>
          <w:rFonts w:hint="eastAsia" w:ascii="宋体" w:hAnsi="宋体" w:eastAsia="宋体" w:cs="宋体"/>
        </w:rPr>
        <w:t>芒来煤矿实际生产能力为1000万吨/年，目前正在开采首采区，开采煤层为B煤层。现已形成工业场地、露天采场、内排土场、外排土场、选煤场、施工单位驻地及矿区道路等单元。</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8" w:name="_Toc18903"/>
      <w:r>
        <w:rPr>
          <w:rFonts w:hint="eastAsia" w:ascii="宋体" w:hAnsi="宋体" w:eastAsia="宋体" w:cs="宋体"/>
          <w:b/>
          <w:bCs/>
        </w:rPr>
        <w:t>三、2024年度开采计划</w:t>
      </w:r>
      <w:bookmarkEnd w:id="8"/>
    </w:p>
    <w:p>
      <w:pPr>
        <w:ind w:firstLine="560"/>
        <w:rPr>
          <w:rFonts w:hint="eastAsia" w:ascii="宋体" w:hAnsi="宋体" w:eastAsia="宋体" w:cs="宋体"/>
        </w:rPr>
      </w:pPr>
      <w:r>
        <w:rPr>
          <w:rFonts w:hint="eastAsia" w:ascii="宋体" w:hAnsi="宋体" w:eastAsia="宋体" w:cs="宋体"/>
          <w:kern w:val="0"/>
        </w:rPr>
        <w:t>2024年度露天采坑拟继续向东推进，</w:t>
      </w:r>
      <w:r>
        <w:rPr>
          <w:rFonts w:hint="eastAsia" w:ascii="宋体" w:hAnsi="宋体" w:eastAsia="宋体" w:cs="宋体"/>
          <w:kern w:val="0"/>
          <w:lang w:val="en-US" w:eastAsia="zh-CN"/>
        </w:rPr>
        <w:t>同时工作帮进行扇形转向，北部地表最大推进度约740</w:t>
      </w:r>
      <w:r>
        <w:rPr>
          <w:rFonts w:hint="eastAsia" w:ascii="宋体" w:hAnsi="宋体" w:eastAsia="宋体" w:cs="宋体"/>
          <w:kern w:val="0"/>
        </w:rPr>
        <w:t>m，</w:t>
      </w:r>
      <w:r>
        <w:rPr>
          <w:rFonts w:hint="eastAsia" w:ascii="宋体" w:hAnsi="宋体" w:eastAsia="宋体" w:cs="宋体"/>
          <w:kern w:val="0"/>
          <w:lang w:val="en-US" w:eastAsia="zh-CN"/>
        </w:rPr>
        <w:t>南部推进度130m</w:t>
      </w:r>
      <w:r>
        <w:rPr>
          <w:rFonts w:hint="eastAsia" w:ascii="宋体" w:hAnsi="宋体" w:eastAsia="宋体" w:cs="宋体"/>
          <w:kern w:val="0"/>
        </w:rPr>
        <w:t>，主要开采B号煤层。</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9" w:name="_Toc9403"/>
      <w:r>
        <w:rPr>
          <w:rFonts w:hint="eastAsia" w:ascii="宋体" w:hAnsi="宋体" w:eastAsia="宋体" w:cs="宋体"/>
          <w:b/>
          <w:bCs/>
        </w:rPr>
        <w:t>四、征占地情况</w:t>
      </w:r>
      <w:bookmarkEnd w:id="9"/>
    </w:p>
    <w:p>
      <w:pPr>
        <w:ind w:firstLine="560"/>
        <w:rPr>
          <w:rFonts w:hint="eastAsia" w:ascii="宋体" w:hAnsi="宋体" w:eastAsia="宋体" w:cs="宋体"/>
        </w:rPr>
      </w:pPr>
      <w:r>
        <w:rPr>
          <w:rFonts w:hint="eastAsia" w:ascii="宋体" w:hAnsi="宋体" w:eastAsia="宋体" w:cs="宋体"/>
        </w:rPr>
        <w:t>芒来煤矿征占地范围主要为</w:t>
      </w:r>
      <w:r>
        <w:rPr>
          <w:rFonts w:hint="eastAsia" w:ascii="宋体" w:hAnsi="宋体" w:cs="宋体"/>
          <w:lang w:eastAsia="zh-CN"/>
        </w:rPr>
        <w:t>工业广场、</w:t>
      </w:r>
      <w:r>
        <w:rPr>
          <w:rFonts w:hint="eastAsia" w:ascii="宋体" w:hAnsi="宋体" w:eastAsia="宋体" w:cs="宋体"/>
        </w:rPr>
        <w:t>北外排土场及采掘场</w:t>
      </w:r>
      <w:r>
        <w:rPr>
          <w:rFonts w:hint="eastAsia" w:ascii="宋体" w:hAnsi="宋体" w:cs="宋体"/>
          <w:lang w:eastAsia="zh-CN"/>
        </w:rPr>
        <w:t>等</w:t>
      </w:r>
      <w:r>
        <w:rPr>
          <w:rFonts w:hint="eastAsia" w:ascii="宋体" w:hAnsi="宋体" w:eastAsia="宋体" w:cs="宋体"/>
        </w:rPr>
        <w:t>区域，</w:t>
      </w:r>
      <w:r>
        <w:rPr>
          <w:rFonts w:hint="eastAsia" w:ascii="宋体" w:hAnsi="宋体" w:cs="宋体"/>
          <w:lang w:eastAsia="zh-CN"/>
        </w:rPr>
        <w:t>一期已批复范围为</w:t>
      </w:r>
      <w:r>
        <w:rPr>
          <w:rFonts w:hint="default" w:ascii="宋体" w:hAnsi="宋体" w:cs="宋体"/>
          <w:lang w:val="en-US" w:eastAsia="zh-CN"/>
        </w:rPr>
        <w:t>7</w:t>
      </w:r>
      <w:r>
        <w:rPr>
          <w:rFonts w:hint="eastAsia" w:ascii="宋体" w:hAnsi="宋体" w:cs="宋体"/>
          <w:lang w:val="en-US" w:eastAsia="zh-CN"/>
        </w:rPr>
        <w:t>个地段，面积共3890371m</w:t>
      </w:r>
      <w:r>
        <w:rPr>
          <w:rFonts w:hint="eastAsia" w:ascii="宋体" w:hAnsi="宋体" w:cs="宋体"/>
          <w:vertAlign w:val="superscript"/>
          <w:lang w:val="en-US" w:eastAsia="zh-CN"/>
        </w:rPr>
        <w:t>2</w:t>
      </w:r>
      <w:r>
        <w:rPr>
          <w:rFonts w:hint="eastAsia" w:ascii="宋体" w:hAnsi="宋体" w:cs="宋体"/>
          <w:lang w:val="en-US" w:eastAsia="zh-CN"/>
        </w:rPr>
        <w:t>，先行用地范围2755760m</w:t>
      </w:r>
      <w:r>
        <w:rPr>
          <w:rFonts w:hint="eastAsia" w:ascii="宋体" w:hAnsi="宋体" w:cs="宋体"/>
          <w:vertAlign w:val="superscript"/>
          <w:lang w:val="en-US" w:eastAsia="zh-CN"/>
        </w:rPr>
        <w:t>2</w:t>
      </w:r>
      <w:r>
        <w:rPr>
          <w:rFonts w:hint="eastAsia" w:ascii="宋体" w:hAnsi="宋体" w:cs="宋体"/>
          <w:lang w:val="en-US" w:eastAsia="zh-CN"/>
        </w:rPr>
        <w:t>，临时用地范围147399m</w:t>
      </w:r>
      <w:r>
        <w:rPr>
          <w:rFonts w:hint="eastAsia" w:ascii="宋体" w:hAnsi="宋体" w:cs="宋体"/>
          <w:vertAlign w:val="superscript"/>
          <w:lang w:val="en-US" w:eastAsia="zh-CN"/>
        </w:rPr>
        <w:t>2</w:t>
      </w:r>
      <w:r>
        <w:rPr>
          <w:rFonts w:hint="eastAsia" w:ascii="宋体" w:hAnsi="宋体" w:cs="宋体"/>
          <w:lang w:val="en-US" w:eastAsia="zh-CN"/>
        </w:rPr>
        <w:t>，</w:t>
      </w:r>
      <w:r>
        <w:rPr>
          <w:rFonts w:hint="eastAsia" w:ascii="宋体" w:hAnsi="宋体" w:eastAsia="宋体" w:cs="宋体"/>
        </w:rPr>
        <w:t>详细情况见图2-2。</w:t>
      </w:r>
    </w:p>
    <w:p>
      <w:pPr>
        <w:pStyle w:val="9"/>
        <w:ind w:firstLine="0" w:firstLineChars="0"/>
        <w:rPr>
          <w:rFonts w:hint="eastAsia" w:ascii="宋体" w:hAnsi="宋体" w:eastAsia="宋体" w:cs="宋体"/>
        </w:rPr>
      </w:pPr>
      <w:r>
        <w:drawing>
          <wp:inline distT="0" distB="0" distL="114300" distR="114300">
            <wp:extent cx="5270500" cy="3302635"/>
            <wp:effectExtent l="0" t="0" r="635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70500" cy="3302635"/>
                    </a:xfrm>
                    <a:prstGeom prst="rect">
                      <a:avLst/>
                    </a:prstGeom>
                    <a:noFill/>
                    <a:ln>
                      <a:noFill/>
                    </a:ln>
                  </pic:spPr>
                </pic:pic>
              </a:graphicData>
            </a:graphic>
          </wp:inline>
        </w:drawing>
      </w:r>
    </w:p>
    <w:p>
      <w:pPr>
        <w:pStyle w:val="9"/>
        <w:ind w:firstLine="0" w:firstLineChars="0"/>
        <w:jc w:val="center"/>
        <w:rPr>
          <w:rFonts w:hint="eastAsia" w:ascii="宋体" w:hAnsi="宋体" w:eastAsia="宋体" w:cs="宋体"/>
          <w:b/>
          <w:bCs/>
        </w:rPr>
      </w:pPr>
      <w:r>
        <w:rPr>
          <w:rFonts w:hint="eastAsia" w:ascii="宋体" w:hAnsi="宋体" w:eastAsia="宋体" w:cs="宋体"/>
          <w:b/>
          <w:bCs/>
        </w:rPr>
        <w:t>图2-2  征占地情况示意图</w:t>
      </w:r>
    </w:p>
    <w:p>
      <w:pPr>
        <w:widowControl/>
        <w:ind w:firstLine="560"/>
        <w:jc w:val="left"/>
        <w:rPr>
          <w:rFonts w:hint="eastAsia" w:ascii="宋体" w:hAnsi="宋体" w:eastAsia="宋体" w:cs="宋体"/>
        </w:rPr>
      </w:pPr>
      <w:r>
        <w:rPr>
          <w:rFonts w:hint="eastAsia" w:ascii="宋体" w:hAnsi="宋体" w:eastAsia="宋体" w:cs="宋体"/>
        </w:rPr>
        <w:br w:type="page"/>
      </w:r>
    </w:p>
    <w:p>
      <w:pPr>
        <w:pStyle w:val="2"/>
        <w:ind w:firstLine="0" w:firstLineChars="0"/>
        <w:rPr>
          <w:rFonts w:hint="eastAsia" w:ascii="宋体" w:hAnsi="宋体" w:eastAsia="宋体" w:cs="宋体"/>
        </w:rPr>
      </w:pPr>
      <w:bookmarkStart w:id="10" w:name="_Toc18011"/>
      <w:r>
        <w:rPr>
          <w:rFonts w:hint="eastAsia" w:ascii="宋体" w:hAnsi="宋体" w:eastAsia="宋体" w:cs="宋体"/>
        </w:rPr>
        <w:t>第三章 矿山土地损毁现状</w:t>
      </w:r>
      <w:bookmarkEnd w:id="10"/>
    </w:p>
    <w:p>
      <w:pPr>
        <w:pStyle w:val="9"/>
        <w:ind w:firstLine="560"/>
        <w:rPr>
          <w:rFonts w:hint="eastAsia" w:ascii="宋体" w:hAnsi="宋体" w:eastAsia="宋体" w:cs="宋体"/>
        </w:rPr>
      </w:pPr>
      <w:r>
        <w:rPr>
          <w:rFonts w:hint="eastAsia" w:ascii="宋体" w:hAnsi="宋体" w:eastAsia="宋体" w:cs="宋体"/>
        </w:rPr>
        <w:t>矿山现状土地损毁单元包括露天采场、内排土场、外排土场、工业场地、施工单位驻地、选煤场、矿区道路，现将各单元情况分析如下：</w:t>
      </w:r>
    </w:p>
    <w:p>
      <w:pPr>
        <w:pStyle w:val="15"/>
        <w:spacing w:line="0" w:lineRule="atLeast"/>
        <w:ind w:firstLine="0" w:firstLineChars="0"/>
        <w:jc w:val="center"/>
        <w:rPr>
          <w:rFonts w:hint="eastAsia" w:ascii="宋体" w:hAnsi="宋体" w:eastAsia="宋体" w:cs="宋体"/>
          <w:b/>
          <w:bCs/>
          <w:szCs w:val="28"/>
        </w:rPr>
      </w:pPr>
      <w:r>
        <w:rPr>
          <w:rFonts w:hint="eastAsia" w:ascii="宋体" w:hAnsi="宋体" w:eastAsia="宋体" w:cs="宋体"/>
          <w:b/>
          <w:bCs/>
          <w:szCs w:val="28"/>
        </w:rPr>
        <w:t>表3-1 矿山土地损毁单元分析统计表</w:t>
      </w:r>
    </w:p>
    <w:tbl>
      <w:tblPr>
        <w:tblStyle w:val="17"/>
        <w:tblW w:w="50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907"/>
        <w:gridCol w:w="1170"/>
        <w:gridCol w:w="945"/>
        <w:gridCol w:w="600"/>
        <w:gridCol w:w="967"/>
        <w:gridCol w:w="396"/>
        <w:gridCol w:w="1084"/>
        <w:gridCol w:w="896"/>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单元</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名称</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面积</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（m</w:t>
            </w:r>
            <w:r>
              <w:rPr>
                <w:rFonts w:hint="eastAsia" w:ascii="宋体" w:hAnsi="宋体" w:eastAsia="宋体" w:cs="宋体"/>
                <w:b/>
                <w:bCs/>
                <w:sz w:val="18"/>
                <w:szCs w:val="18"/>
                <w:vertAlign w:val="superscript"/>
              </w:rPr>
              <w:t>2</w:t>
            </w:r>
            <w:r>
              <w:rPr>
                <w:rFonts w:hint="eastAsia" w:ascii="宋体" w:hAnsi="宋体" w:eastAsia="宋体" w:cs="宋体"/>
                <w:b/>
                <w:bCs/>
                <w:sz w:val="18"/>
                <w:szCs w:val="18"/>
              </w:rPr>
              <w:t>）</w:t>
            </w:r>
          </w:p>
        </w:tc>
        <w:tc>
          <w:tcPr>
            <w:tcW w:w="1233" w:type="pct"/>
            <w:gridSpan w:val="2"/>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现状损毁地类</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及面积（m</w:t>
            </w:r>
            <w:r>
              <w:rPr>
                <w:rFonts w:hint="eastAsia" w:ascii="宋体" w:hAnsi="宋体" w:eastAsia="宋体" w:cs="宋体"/>
                <w:b/>
                <w:bCs/>
                <w:sz w:val="18"/>
                <w:szCs w:val="18"/>
                <w:vertAlign w:val="superscript"/>
              </w:rPr>
              <w:t>2</w:t>
            </w:r>
            <w:r>
              <w:rPr>
                <w:rFonts w:hint="eastAsia" w:ascii="宋体" w:hAnsi="宋体" w:eastAsia="宋体" w:cs="宋体"/>
                <w:b/>
                <w:bCs/>
                <w:sz w:val="18"/>
                <w:szCs w:val="18"/>
              </w:rPr>
              <w:t>）</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损毁类型</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现状开发</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利用情况</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稳定性</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2024年新增拟损毁面积（m</w:t>
            </w:r>
            <w:r>
              <w:rPr>
                <w:rFonts w:hint="eastAsia" w:ascii="宋体" w:hAnsi="宋体" w:eastAsia="宋体" w:cs="宋体"/>
                <w:b/>
                <w:bCs/>
                <w:sz w:val="18"/>
                <w:szCs w:val="18"/>
                <w:vertAlign w:val="superscript"/>
              </w:rPr>
              <w:t>2</w:t>
            </w:r>
            <w:r>
              <w:rPr>
                <w:rFonts w:hint="eastAsia" w:ascii="宋体" w:hAnsi="宋体" w:eastAsia="宋体" w:cs="宋体"/>
                <w:b/>
                <w:bCs/>
                <w:sz w:val="18"/>
                <w:szCs w:val="18"/>
              </w:rPr>
              <w:t>）</w:t>
            </w:r>
          </w:p>
        </w:tc>
        <w:tc>
          <w:tcPr>
            <w:tcW w:w="1007" w:type="pct"/>
            <w:gridSpan w:val="2"/>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2024年新增拟损毁地类及面积（m</w:t>
            </w:r>
            <w:r>
              <w:rPr>
                <w:rFonts w:hint="eastAsia" w:ascii="宋体" w:hAnsi="宋体" w:eastAsia="宋体" w:cs="宋体"/>
                <w:b/>
                <w:bCs/>
                <w:sz w:val="18"/>
                <w:szCs w:val="18"/>
                <w:vertAlign w:val="superscript"/>
              </w:rPr>
              <w:t>2</w:t>
            </w:r>
            <w:r>
              <w:rPr>
                <w:rFonts w:hint="eastAsia" w:ascii="宋体" w:hAnsi="宋体" w:eastAsia="宋体" w:cs="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1233" w:type="pct"/>
            <w:gridSpan w:val="2"/>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c>
          <w:tcPr>
            <w:tcW w:w="1007" w:type="pct"/>
            <w:gridSpan w:val="2"/>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露天采场+内排土场</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5417222</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天然牧草地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2037892</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挖损</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弱发育</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489456</w:t>
            </w:r>
          </w:p>
        </w:tc>
        <w:tc>
          <w:tcPr>
            <w:tcW w:w="52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天然牧草地</w:t>
            </w:r>
          </w:p>
        </w:tc>
        <w:tc>
          <w:tcPr>
            <w:tcW w:w="485"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489456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3379330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北外排土场</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2719465</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天然牧草地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1288951</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弱发育</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150000</w:t>
            </w:r>
          </w:p>
        </w:tc>
        <w:tc>
          <w:tcPr>
            <w:tcW w:w="52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天然牧草地</w:t>
            </w:r>
          </w:p>
        </w:tc>
        <w:tc>
          <w:tcPr>
            <w:tcW w:w="485"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1430514</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西南外排土场</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rPr>
            </w:pPr>
            <w:r>
              <w:rPr>
                <w:rFonts w:hint="default" w:ascii="宋体" w:hAnsi="宋体" w:cs="宋体"/>
                <w:sz w:val="18"/>
                <w:szCs w:val="18"/>
                <w:lang w:val="en-US"/>
              </w:rPr>
              <w:t>578200</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rPr>
            </w:pPr>
            <w:r>
              <w:rPr>
                <w:rFonts w:hint="default" w:ascii="宋体" w:hAnsi="宋体" w:cs="宋体"/>
                <w:sz w:val="18"/>
                <w:szCs w:val="18"/>
                <w:lang w:val="en-US"/>
              </w:rPr>
              <w:t>578200</w:t>
            </w:r>
          </w:p>
        </w:tc>
        <w:tc>
          <w:tcPr>
            <w:tcW w:w="349"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不再使用，已复垦</w:t>
            </w:r>
          </w:p>
        </w:tc>
        <w:tc>
          <w:tcPr>
            <w:tcW w:w="23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弱发育</w:t>
            </w:r>
          </w:p>
        </w:tc>
        <w:tc>
          <w:tcPr>
            <w:tcW w:w="631"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485"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工业</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场地</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644000</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val="en-US" w:eastAsia="zh-CN"/>
              </w:rPr>
            </w:pPr>
            <w:r>
              <w:rPr>
                <w:rFonts w:hint="eastAsia" w:ascii="宋体" w:hAnsi="宋体" w:cs="宋体"/>
                <w:sz w:val="18"/>
                <w:szCs w:val="18"/>
                <w:lang w:val="en-US" w:eastAsia="zh-CN"/>
              </w:rPr>
              <w:t>乔木林地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18800</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不发育</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52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485"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其它林地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32100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天然牧草地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228400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其它草地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318300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商业服务用地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2400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25400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公共设施用地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800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风景名胜设施用地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3600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公路用地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3400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农村道路</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10800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施工单位驻地</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69969</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69969</w:t>
            </w:r>
          </w:p>
        </w:tc>
        <w:tc>
          <w:tcPr>
            <w:tcW w:w="349"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不发育</w:t>
            </w:r>
          </w:p>
        </w:tc>
        <w:tc>
          <w:tcPr>
            <w:tcW w:w="631"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485"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选煤场</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166500</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天然牧草地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19000</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不发育</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52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485"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val="en-US" w:eastAsia="zh-CN"/>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工业用地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4700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val="en-US" w:eastAsia="zh-CN"/>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kern w:val="2"/>
                <w:sz w:val="18"/>
                <w:szCs w:val="18"/>
                <w:lang w:val="en-US" w:eastAsia="zh-CN" w:bidi="ar-SA"/>
              </w:rPr>
            </w:pPr>
            <w:r>
              <w:rPr>
                <w:rFonts w:hint="eastAsia" w:ascii="宋体" w:hAnsi="宋体" w:eastAsia="宋体" w:cs="宋体"/>
                <w:sz w:val="18"/>
                <w:szCs w:val="18"/>
              </w:rPr>
              <w:t>采矿用地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69600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val="en-US" w:eastAsia="zh-CN"/>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铁路用地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58700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val="en-US" w:eastAsia="zh-CN"/>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管道运输用地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14500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矿区</w:t>
            </w:r>
          </w:p>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道路</w:t>
            </w:r>
          </w:p>
        </w:tc>
        <w:tc>
          <w:tcPr>
            <w:tcW w:w="528"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144000</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天然牧草地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82500</w:t>
            </w:r>
          </w:p>
        </w:tc>
        <w:tc>
          <w:tcPr>
            <w:tcW w:w="349"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压占</w:t>
            </w:r>
          </w:p>
        </w:tc>
        <w:tc>
          <w:tcPr>
            <w:tcW w:w="563"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使用中</w:t>
            </w:r>
          </w:p>
        </w:tc>
        <w:tc>
          <w:tcPr>
            <w:tcW w:w="230"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不发育</w:t>
            </w:r>
          </w:p>
        </w:tc>
        <w:tc>
          <w:tcPr>
            <w:tcW w:w="631"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522"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485"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公路用地</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41700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8"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r>
              <w:rPr>
                <w:rFonts w:hint="eastAsia" w:ascii="宋体" w:hAnsi="宋体" w:cs="宋体"/>
                <w:sz w:val="18"/>
                <w:szCs w:val="18"/>
                <w:lang w:eastAsia="zh-CN"/>
              </w:rPr>
              <w:t>农村道路</w:t>
            </w: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19800</w:t>
            </w:r>
          </w:p>
        </w:tc>
        <w:tc>
          <w:tcPr>
            <w:tcW w:w="349"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22"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lang w:eastAsia="zh-CN"/>
              </w:rPr>
            </w:pPr>
            <w:r>
              <w:rPr>
                <w:rFonts w:hint="eastAsia" w:ascii="宋体" w:hAnsi="宋体" w:cs="宋体"/>
                <w:sz w:val="18"/>
                <w:szCs w:val="18"/>
                <w:lang w:eastAsia="zh-CN"/>
              </w:rPr>
              <w:t>合计</w:t>
            </w:r>
          </w:p>
        </w:tc>
        <w:tc>
          <w:tcPr>
            <w:tcW w:w="528"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9739356</w:t>
            </w:r>
          </w:p>
        </w:tc>
        <w:tc>
          <w:tcPr>
            <w:tcW w:w="68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eastAsia="zh-CN"/>
              </w:rPr>
            </w:pPr>
          </w:p>
        </w:tc>
        <w:tc>
          <w:tcPr>
            <w:tcW w:w="5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cs="宋体"/>
                <w:sz w:val="18"/>
                <w:szCs w:val="18"/>
                <w:lang w:val="en-US" w:eastAsia="zh-CN"/>
              </w:rPr>
            </w:pPr>
          </w:p>
        </w:tc>
        <w:tc>
          <w:tcPr>
            <w:tcW w:w="349"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563"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23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631"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639456</w:t>
            </w: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c>
          <w:tcPr>
            <w:tcW w:w="485"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宋体" w:hAnsi="宋体" w:eastAsia="宋体" w:cs="宋体"/>
                <w:sz w:val="18"/>
                <w:szCs w:val="18"/>
              </w:rPr>
            </w:pPr>
          </w:p>
        </w:tc>
      </w:tr>
    </w:tbl>
    <w:p>
      <w:pPr>
        <w:ind w:firstLine="560"/>
        <w:rPr>
          <w:rFonts w:hint="eastAsia" w:ascii="宋体" w:hAnsi="宋体" w:eastAsia="宋体" w:cs="宋体"/>
        </w:rPr>
      </w:pPr>
      <w:r>
        <w:rPr>
          <w:rFonts w:hint="eastAsia" w:ascii="宋体" w:hAnsi="宋体" w:eastAsia="宋体" w:cs="宋体"/>
        </w:rPr>
        <w:t>1、露天采场</w:t>
      </w:r>
    </w:p>
    <w:p>
      <w:pPr>
        <w:ind w:firstLine="560"/>
        <w:rPr>
          <w:rFonts w:hint="eastAsia" w:ascii="宋体" w:hAnsi="宋体" w:eastAsia="宋体" w:cs="宋体"/>
        </w:rPr>
      </w:pPr>
      <w:r>
        <w:rPr>
          <w:rFonts w:hint="eastAsia" w:ascii="宋体" w:hAnsi="宋体" w:eastAsia="宋体" w:cs="宋体"/>
        </w:rPr>
        <w:t>目前，芒来露天煤矿露天采场地表境界面积达5.42km</w:t>
      </w:r>
      <w:r>
        <w:rPr>
          <w:rFonts w:hint="eastAsia" w:ascii="宋体" w:hAnsi="宋体" w:eastAsia="宋体" w:cs="宋体"/>
          <w:vertAlign w:val="superscript"/>
        </w:rPr>
        <w:t>2</w:t>
      </w:r>
      <w:r>
        <w:rPr>
          <w:rFonts w:hint="eastAsia" w:ascii="宋体" w:hAnsi="宋体" w:eastAsia="宋体" w:cs="宋体"/>
        </w:rPr>
        <w:t>，为东西向4.92km，南北向1.87km的多边形区域，现形成内排土场面积为3.37km</w:t>
      </w:r>
      <w:r>
        <w:rPr>
          <w:rFonts w:hint="eastAsia" w:ascii="宋体" w:hAnsi="宋体" w:eastAsia="宋体" w:cs="宋体"/>
          <w:vertAlign w:val="superscript"/>
        </w:rPr>
        <w:t>2</w:t>
      </w:r>
      <w:r>
        <w:rPr>
          <w:rFonts w:hint="eastAsia" w:ascii="宋体" w:hAnsi="宋体" w:eastAsia="宋体" w:cs="宋体"/>
        </w:rPr>
        <w:t>，其中2.71km</w:t>
      </w:r>
      <w:r>
        <w:rPr>
          <w:rFonts w:hint="eastAsia" w:ascii="宋体" w:hAnsi="宋体" w:eastAsia="宋体" w:cs="宋体"/>
          <w:vertAlign w:val="superscript"/>
        </w:rPr>
        <w:t>2</w:t>
      </w:r>
      <w:r>
        <w:rPr>
          <w:rFonts w:hint="eastAsia" w:ascii="宋体" w:hAnsi="宋体" w:eastAsia="宋体" w:cs="宋体"/>
        </w:rPr>
        <w:t>已内排到</w:t>
      </w:r>
      <w:r>
        <w:rPr>
          <w:rFonts w:hint="eastAsia" w:ascii="宋体" w:hAnsi="宋体" w:cs="宋体"/>
          <w:lang w:eastAsia="zh-CN"/>
        </w:rPr>
        <w:t>地表（已复垦区域面积</w:t>
      </w:r>
      <w:r>
        <w:rPr>
          <w:rFonts w:hint="default" w:ascii="宋体" w:hAnsi="宋体" w:cs="宋体"/>
          <w:lang w:val="en-US" w:eastAsia="zh-CN"/>
        </w:rPr>
        <w:t>2.45</w:t>
      </w:r>
      <w:r>
        <w:rPr>
          <w:rFonts w:hint="eastAsia" w:ascii="宋体" w:hAnsi="宋体" w:eastAsia="宋体" w:cs="宋体"/>
        </w:rPr>
        <w:t>km</w:t>
      </w:r>
      <w:r>
        <w:rPr>
          <w:rFonts w:hint="eastAsia" w:ascii="宋体" w:hAnsi="宋体" w:eastAsia="宋体" w:cs="宋体"/>
          <w:vertAlign w:val="superscript"/>
        </w:rPr>
        <w:t>2</w:t>
      </w:r>
      <w:r>
        <w:rPr>
          <w:rFonts w:hint="eastAsia" w:ascii="宋体" w:hAnsi="宋体" w:cs="宋体"/>
          <w:lang w:val="en-US" w:eastAsia="zh-CN"/>
        </w:rPr>
        <w:t>，</w:t>
      </w:r>
      <w:r>
        <w:rPr>
          <w:rFonts w:hint="eastAsia" w:ascii="宋体" w:hAnsi="宋体" w:cs="宋体"/>
          <w:lang w:eastAsia="zh-CN"/>
        </w:rPr>
        <w:t>运输道路占用</w:t>
      </w:r>
      <w:r>
        <w:rPr>
          <w:rFonts w:hint="default" w:ascii="宋体" w:hAnsi="宋体" w:cs="宋体"/>
          <w:lang w:val="en-US" w:eastAsia="zh-CN"/>
        </w:rPr>
        <w:t>0.06km</w:t>
      </w:r>
      <w:r>
        <w:rPr>
          <w:rFonts w:hint="default" w:ascii="宋体" w:hAnsi="宋体" w:cs="宋体"/>
          <w:vertAlign w:val="superscript"/>
          <w:lang w:val="en-US" w:eastAsia="zh-CN"/>
        </w:rPr>
        <w:t>2</w:t>
      </w:r>
      <w:r>
        <w:rPr>
          <w:rFonts w:hint="default" w:ascii="宋体" w:hAnsi="宋体" w:cs="宋体"/>
          <w:lang w:val="en-US" w:eastAsia="zh-CN"/>
        </w:rPr>
        <w:t>,</w:t>
      </w:r>
      <w:r>
        <w:rPr>
          <w:rFonts w:hint="eastAsia" w:ascii="宋体" w:hAnsi="宋体" w:cs="宋体"/>
          <w:lang w:val="en-US" w:eastAsia="zh-CN"/>
        </w:rPr>
        <w:t>未复垦面积</w:t>
      </w:r>
      <w:r>
        <w:rPr>
          <w:rFonts w:hint="default" w:ascii="宋体" w:hAnsi="宋体" w:cs="宋体"/>
          <w:lang w:val="en-US" w:eastAsia="zh-CN"/>
        </w:rPr>
        <w:t>0.20km</w:t>
      </w:r>
      <w:r>
        <w:rPr>
          <w:rFonts w:hint="default" w:ascii="宋体" w:hAnsi="宋体" w:cs="宋体"/>
          <w:vertAlign w:val="superscript"/>
          <w:lang w:val="en-US" w:eastAsia="zh-CN"/>
        </w:rPr>
        <w:t>2</w:t>
      </w:r>
      <w:r>
        <w:rPr>
          <w:rFonts w:hint="default" w:ascii="宋体" w:hAnsi="宋体" w:cs="宋体"/>
          <w:lang w:val="en-US" w:eastAsia="zh-CN"/>
        </w:rPr>
        <w:t>,</w:t>
      </w:r>
      <w:r>
        <w:rPr>
          <w:rFonts w:hint="eastAsia" w:ascii="宋体" w:hAnsi="宋体" w:cs="宋体"/>
          <w:lang w:val="en-US" w:eastAsia="zh-CN"/>
        </w:rPr>
        <w:t>复垦率9</w:t>
      </w:r>
      <w:r>
        <w:rPr>
          <w:rFonts w:hint="default" w:ascii="宋体" w:hAnsi="宋体" w:cs="宋体"/>
          <w:lang w:val="en-US" w:eastAsia="zh-CN"/>
        </w:rPr>
        <w:t>3</w:t>
      </w:r>
      <w:r>
        <w:rPr>
          <w:rFonts w:hint="eastAsia" w:ascii="宋体" w:hAnsi="宋体" w:cs="宋体"/>
          <w:lang w:val="en-US" w:eastAsia="zh-CN"/>
        </w:rPr>
        <w:t>%</w:t>
      </w:r>
      <w:r>
        <w:rPr>
          <w:rFonts w:hint="eastAsia" w:ascii="宋体" w:hAnsi="宋体" w:cs="宋体"/>
          <w:lang w:eastAsia="zh-CN"/>
        </w:rPr>
        <w:t>）</w:t>
      </w:r>
      <w:r>
        <w:rPr>
          <w:rFonts w:hint="eastAsia" w:ascii="宋体" w:hAnsi="宋体" w:eastAsia="宋体" w:cs="宋体"/>
        </w:rPr>
        <w:t>，现状采掘场面积为2.71km</w:t>
      </w:r>
      <w:r>
        <w:rPr>
          <w:rFonts w:hint="eastAsia" w:ascii="宋体" w:hAnsi="宋体" w:eastAsia="宋体" w:cs="宋体"/>
          <w:vertAlign w:val="superscript"/>
        </w:rPr>
        <w:t>2</w:t>
      </w:r>
      <w:r>
        <w:rPr>
          <w:rFonts w:hint="eastAsia" w:ascii="宋体" w:hAnsi="宋体" w:eastAsia="宋体" w:cs="宋体"/>
        </w:rPr>
        <w:t>。内排土场边坡台阶共7个，内排台阶高度10-20m，最下部排土台阶标高840m；现状采掘场边坡台阶共11个，台阶高度10m，最大开采深度140m左右，坑底标高820m。损毁类型的为挖损，地质灾害弱发育，现状较稳定，占用地类为采矿用地及天然牧草地。</w:t>
      </w:r>
    </w:p>
    <w:p>
      <w:pPr>
        <w:ind w:firstLine="560"/>
        <w:rPr>
          <w:rFonts w:hint="eastAsia" w:ascii="宋体" w:hAnsi="宋体" w:eastAsia="宋体" w:cs="宋体"/>
        </w:rPr>
      </w:pPr>
      <w:r>
        <w:rPr>
          <w:rFonts w:hint="eastAsia" w:ascii="宋体" w:hAnsi="宋体" w:eastAsia="宋体" w:cs="宋体"/>
        </w:rPr>
        <w:t>2、外排土场</w:t>
      </w:r>
    </w:p>
    <w:p>
      <w:pPr>
        <w:ind w:firstLine="560"/>
        <w:rPr>
          <w:rFonts w:hint="eastAsia" w:ascii="宋体" w:hAnsi="宋体" w:eastAsia="宋体" w:cs="宋体"/>
        </w:rPr>
      </w:pPr>
      <w:r>
        <w:rPr>
          <w:rFonts w:hint="eastAsia" w:ascii="宋体" w:hAnsi="宋体" w:eastAsia="宋体" w:cs="宋体"/>
        </w:rPr>
        <w:t>芒来煤矿共设置2处外排土场，分别为采场北部的北外排土场、采场西南部的西南外排土场。外排土场基底稳定，距采场近，可以满足实现全部内排前的外排总量的要求。西南外排土场于201</w:t>
      </w:r>
      <w:r>
        <w:rPr>
          <w:rFonts w:hint="default" w:ascii="宋体" w:hAnsi="宋体" w:cs="宋体"/>
          <w:lang w:val="en-US"/>
        </w:rPr>
        <w:t>2</w:t>
      </w:r>
      <w:r>
        <w:rPr>
          <w:rFonts w:hint="eastAsia" w:ascii="宋体" w:hAnsi="宋体" w:eastAsia="宋体" w:cs="宋体"/>
        </w:rPr>
        <w:t>年末已完成排土作业，北外排土场西侧</w:t>
      </w:r>
      <w:r>
        <w:rPr>
          <w:rFonts w:hint="eastAsia" w:ascii="宋体" w:hAnsi="宋体" w:cs="宋体"/>
          <w:lang w:eastAsia="zh-CN"/>
        </w:rPr>
        <w:t>现</w:t>
      </w:r>
      <w:r>
        <w:rPr>
          <w:rFonts w:hint="eastAsia" w:ascii="宋体" w:hAnsi="宋体" w:eastAsia="宋体" w:cs="宋体"/>
        </w:rPr>
        <w:t>完成排土作业。排土场土地损毁类型为占用，地质灾害弱发育，现状较稳定，占用地类为采矿用地及天然牧草地。</w:t>
      </w:r>
    </w:p>
    <w:p>
      <w:pPr>
        <w:ind w:firstLine="560"/>
        <w:rPr>
          <w:rFonts w:hint="eastAsia" w:ascii="宋体" w:hAnsi="宋体" w:eastAsia="宋体" w:cs="宋体"/>
        </w:rPr>
      </w:pPr>
      <w:r>
        <w:rPr>
          <w:rFonts w:hint="eastAsia" w:ascii="宋体" w:hAnsi="宋体" w:eastAsia="宋体" w:cs="宋体"/>
        </w:rPr>
        <w:t>（1）北外排土场</w:t>
      </w:r>
    </w:p>
    <w:p>
      <w:pPr>
        <w:ind w:firstLine="560"/>
        <w:rPr>
          <w:rFonts w:hint="eastAsia" w:ascii="宋体" w:hAnsi="宋体" w:eastAsia="宋体" w:cs="宋体"/>
        </w:rPr>
      </w:pPr>
      <w:r>
        <w:rPr>
          <w:rFonts w:hint="eastAsia" w:ascii="宋体" w:hAnsi="宋体" w:eastAsia="宋体" w:cs="宋体"/>
        </w:rPr>
        <w:t>北外排土场西侧及南侧帮坡角为11°，形成</w:t>
      </w:r>
      <w:r>
        <w:rPr>
          <w:rFonts w:hint="eastAsia" w:ascii="宋体" w:hAnsi="宋体" w:cs="宋体"/>
          <w:lang w:val="en-US" w:eastAsia="zh-CN"/>
        </w:rPr>
        <w:t>4</w:t>
      </w:r>
      <w:r>
        <w:rPr>
          <w:rFonts w:hint="eastAsia" w:ascii="宋体" w:hAnsi="宋体" w:eastAsia="宋体" w:cs="宋体"/>
        </w:rPr>
        <w:t>个排土台阶，分别为+965m</w:t>
      </w:r>
      <w:r>
        <w:rPr>
          <w:rFonts w:hint="eastAsia" w:ascii="宋体" w:hAnsi="宋体" w:cs="宋体"/>
          <w:lang w:eastAsia="zh-CN"/>
        </w:rPr>
        <w:t>、</w:t>
      </w:r>
      <w:r>
        <w:rPr>
          <w:rFonts w:hint="eastAsia" w:ascii="宋体" w:hAnsi="宋体" w:eastAsia="宋体" w:cs="宋体"/>
        </w:rPr>
        <w:t>+980m、+99</w:t>
      </w:r>
      <w:r>
        <w:rPr>
          <w:rFonts w:hint="eastAsia" w:ascii="宋体" w:hAnsi="宋体" w:eastAsia="宋体" w:cs="宋体"/>
          <w:lang w:val="en-US" w:eastAsia="zh-CN"/>
        </w:rPr>
        <w:t>0</w:t>
      </w:r>
      <w:r>
        <w:rPr>
          <w:rFonts w:hint="eastAsia" w:ascii="宋体" w:hAnsi="宋体" w:eastAsia="宋体" w:cs="宋体"/>
        </w:rPr>
        <w:t>m、+1000m，排土台阶高15m,排土场</w:t>
      </w:r>
      <w:r>
        <w:rPr>
          <w:rFonts w:hint="eastAsia" w:ascii="宋体" w:hAnsi="宋体" w:cs="宋体"/>
          <w:lang w:eastAsia="zh-CN"/>
        </w:rPr>
        <w:t>先期范围</w:t>
      </w:r>
      <w:r>
        <w:rPr>
          <w:rFonts w:hint="eastAsia" w:ascii="宋体" w:hAnsi="宋体" w:eastAsia="宋体" w:cs="宋体"/>
        </w:rPr>
        <w:t>已完成复垦绿化。目前，芒来煤矿在北外排土场东侧和北侧先行用地进行排土作业，形成</w:t>
      </w:r>
      <w:r>
        <w:rPr>
          <w:rFonts w:hint="eastAsia" w:ascii="宋体" w:hAnsi="宋体" w:cs="宋体"/>
          <w:lang w:val="en-US" w:eastAsia="zh-CN"/>
        </w:rPr>
        <w:t>6</w:t>
      </w:r>
      <w:r>
        <w:rPr>
          <w:rFonts w:hint="eastAsia" w:ascii="宋体" w:hAnsi="宋体" w:eastAsia="宋体" w:cs="宋体"/>
        </w:rPr>
        <w:t>个排土台阶，分别为+965m、+980m、+995m、+1010m</w:t>
      </w:r>
      <w:r>
        <w:rPr>
          <w:rFonts w:hint="eastAsia" w:ascii="宋体" w:hAnsi="宋体" w:cs="宋体"/>
          <w:lang w:eastAsia="zh-CN"/>
        </w:rPr>
        <w:t>、</w:t>
      </w:r>
      <w:r>
        <w:rPr>
          <w:rFonts w:hint="eastAsia" w:ascii="宋体" w:hAnsi="宋体" w:eastAsia="宋体" w:cs="宋体"/>
        </w:rPr>
        <w:t>+10</w:t>
      </w:r>
      <w:r>
        <w:rPr>
          <w:rFonts w:hint="eastAsia" w:ascii="宋体" w:hAnsi="宋体" w:cs="宋体"/>
          <w:lang w:val="en-US" w:eastAsia="zh-CN"/>
        </w:rPr>
        <w:t>25</w:t>
      </w:r>
      <w:r>
        <w:rPr>
          <w:rFonts w:hint="eastAsia" w:ascii="宋体" w:hAnsi="宋体" w:eastAsia="宋体" w:cs="宋体"/>
        </w:rPr>
        <w:t>m</w:t>
      </w:r>
      <w:r>
        <w:rPr>
          <w:rFonts w:hint="eastAsia" w:ascii="宋体" w:hAnsi="宋体" w:cs="宋体"/>
          <w:lang w:eastAsia="zh-CN"/>
        </w:rPr>
        <w:t>、</w:t>
      </w:r>
      <w:r>
        <w:rPr>
          <w:rFonts w:hint="eastAsia" w:ascii="宋体" w:hAnsi="宋体" w:eastAsia="宋体" w:cs="宋体"/>
        </w:rPr>
        <w:t>+1030m，北外排土场</w:t>
      </w:r>
      <w:r>
        <w:rPr>
          <w:rFonts w:hint="eastAsia" w:ascii="宋体" w:hAnsi="宋体" w:cs="宋体"/>
          <w:lang w:eastAsia="zh-CN"/>
        </w:rPr>
        <w:t>现</w:t>
      </w:r>
      <w:r>
        <w:rPr>
          <w:rFonts w:hint="eastAsia" w:ascii="宋体" w:hAnsi="宋体" w:eastAsia="宋体" w:cs="宋体"/>
        </w:rPr>
        <w:t>占地总面积为2.72km</w:t>
      </w:r>
      <w:r>
        <w:rPr>
          <w:rFonts w:hint="eastAsia" w:ascii="宋体" w:hAnsi="宋体" w:eastAsia="宋体" w:cs="宋体"/>
          <w:vertAlign w:val="superscript"/>
        </w:rPr>
        <w:t>2</w:t>
      </w:r>
      <w:r>
        <w:rPr>
          <w:rFonts w:hint="eastAsia" w:ascii="宋体" w:hAnsi="宋体" w:cs="宋体"/>
          <w:vertAlign w:val="baseline"/>
          <w:lang w:eastAsia="zh-CN"/>
        </w:rPr>
        <w:t>，已复垦</w:t>
      </w:r>
      <w:r>
        <w:rPr>
          <w:rFonts w:hint="default" w:ascii="宋体" w:hAnsi="宋体" w:cs="宋体"/>
          <w:lang w:val="en-US" w:eastAsia="zh-CN"/>
        </w:rPr>
        <w:t>0.</w:t>
      </w:r>
      <w:r>
        <w:rPr>
          <w:rFonts w:hint="eastAsia" w:ascii="宋体" w:hAnsi="宋体" w:cs="宋体"/>
          <w:lang w:val="en-US" w:eastAsia="zh-CN"/>
        </w:rPr>
        <w:t>70</w:t>
      </w:r>
      <w:r>
        <w:rPr>
          <w:rFonts w:hint="default" w:ascii="宋体" w:hAnsi="宋体" w:cs="宋体"/>
          <w:lang w:val="en-US" w:eastAsia="zh-CN"/>
        </w:rPr>
        <w:t>km</w:t>
      </w:r>
      <w:r>
        <w:rPr>
          <w:rFonts w:hint="default" w:ascii="宋体" w:hAnsi="宋体" w:cs="宋体"/>
          <w:vertAlign w:val="superscript"/>
          <w:lang w:val="en-US" w:eastAsia="zh-CN"/>
        </w:rPr>
        <w:t>2</w:t>
      </w:r>
      <w:r>
        <w:rPr>
          <w:rFonts w:hint="default" w:ascii="宋体" w:hAnsi="宋体" w:cs="宋体"/>
          <w:lang w:val="en-US" w:eastAsia="zh-CN"/>
        </w:rPr>
        <w:t>,</w:t>
      </w:r>
      <w:r>
        <w:rPr>
          <w:rFonts w:hint="eastAsia" w:ascii="宋体" w:hAnsi="宋体" w:cs="宋体"/>
          <w:lang w:val="en-US" w:eastAsia="zh-CN"/>
        </w:rPr>
        <w:t>2024年计划复垦</w:t>
      </w:r>
      <w:r>
        <w:rPr>
          <w:rFonts w:hint="default" w:ascii="宋体" w:hAnsi="宋体" w:cs="宋体"/>
          <w:lang w:val="en-US" w:eastAsia="zh-CN"/>
        </w:rPr>
        <w:t>0.</w:t>
      </w:r>
      <w:r>
        <w:rPr>
          <w:rFonts w:hint="eastAsia" w:ascii="宋体" w:hAnsi="宋体" w:cs="宋体"/>
          <w:lang w:val="en-US" w:eastAsia="zh-CN"/>
        </w:rPr>
        <w:t>3</w:t>
      </w:r>
      <w:r>
        <w:rPr>
          <w:rFonts w:hint="default" w:ascii="宋体" w:hAnsi="宋体" w:cs="宋体"/>
          <w:lang w:val="en-US" w:eastAsia="zh-CN"/>
        </w:rPr>
        <w:t>6km</w:t>
      </w:r>
      <w:r>
        <w:rPr>
          <w:rFonts w:hint="default" w:ascii="宋体" w:hAnsi="宋体" w:cs="宋体"/>
          <w:vertAlign w:val="superscript"/>
          <w:lang w:val="en-US" w:eastAsia="zh-CN"/>
        </w:rPr>
        <w:t>2</w:t>
      </w:r>
      <w:r>
        <w:rPr>
          <w:rFonts w:hint="eastAsia" w:ascii="宋体" w:hAnsi="宋体" w:cs="宋体"/>
          <w:vertAlign w:val="baseline"/>
          <w:lang w:val="en-US" w:eastAsia="zh-CN"/>
        </w:rPr>
        <w:t>（因受征地影响，复垦亩数完成情况详见第六章）</w:t>
      </w:r>
      <w:r>
        <w:rPr>
          <w:rFonts w:hint="default" w:ascii="宋体" w:hAnsi="宋体" w:cs="宋体"/>
          <w:lang w:val="en-US" w:eastAsia="zh-CN"/>
        </w:rPr>
        <w:t>,</w:t>
      </w:r>
      <w:r>
        <w:rPr>
          <w:rFonts w:hint="eastAsia" w:ascii="宋体" w:hAnsi="宋体" w:cs="宋体"/>
          <w:lang w:val="en-US" w:eastAsia="zh-CN"/>
        </w:rPr>
        <w:t>复垦率39%；未复垦面积1.66</w:t>
      </w:r>
      <w:r>
        <w:rPr>
          <w:rFonts w:hint="default" w:ascii="宋体" w:hAnsi="宋体" w:cs="宋体"/>
          <w:lang w:val="en-US" w:eastAsia="zh-CN"/>
        </w:rPr>
        <w:t>km</w:t>
      </w:r>
      <w:r>
        <w:rPr>
          <w:rFonts w:hint="default" w:ascii="宋体" w:hAnsi="宋体" w:cs="宋体"/>
          <w:vertAlign w:val="superscript"/>
          <w:lang w:val="en-US" w:eastAsia="zh-CN"/>
        </w:rPr>
        <w:t>2</w:t>
      </w:r>
      <w:r>
        <w:rPr>
          <w:rFonts w:hint="default" w:ascii="宋体" w:hAnsi="宋体" w:cs="宋体"/>
          <w:lang w:val="en-US" w:eastAsia="zh-CN"/>
        </w:rPr>
        <w:t>,</w:t>
      </w:r>
      <w:r>
        <w:rPr>
          <w:rFonts w:hint="eastAsia" w:ascii="宋体" w:hAnsi="宋体" w:cs="宋体"/>
          <w:lang w:val="en-US" w:eastAsia="zh-CN"/>
        </w:rPr>
        <w:t>因未排弃到界，暂不具备复垦条件</w:t>
      </w:r>
      <w:r>
        <w:rPr>
          <w:rFonts w:hint="eastAsia" w:ascii="宋体" w:hAnsi="宋体" w:eastAsia="宋体" w:cs="宋体"/>
        </w:rPr>
        <w:t>。</w:t>
      </w:r>
    </w:p>
    <w:p>
      <w:pPr>
        <w:pStyle w:val="9"/>
        <w:ind w:firstLine="0" w:firstLineChars="0"/>
        <w:rPr>
          <w:rFonts w:hint="eastAsia" w:ascii="宋体" w:hAnsi="宋体" w:eastAsia="宋体" w:cs="宋体"/>
        </w:rPr>
      </w:pPr>
      <w:r>
        <w:rPr>
          <w:rFonts w:hint="eastAsia" w:ascii="宋体" w:hAnsi="宋体" w:eastAsia="宋体" w:cs="宋体"/>
        </w:rPr>
        <w:drawing>
          <wp:inline distT="0" distB="0" distL="114300" distR="114300">
            <wp:extent cx="5266055" cy="299085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rcRect t="4864" b="9964"/>
                    <a:stretch>
                      <a:fillRect/>
                    </a:stretch>
                  </pic:blipFill>
                  <pic:spPr>
                    <a:xfrm>
                      <a:off x="0" y="0"/>
                      <a:ext cx="5266055" cy="2990850"/>
                    </a:xfrm>
                    <a:prstGeom prst="rect">
                      <a:avLst/>
                    </a:prstGeom>
                    <a:noFill/>
                    <a:ln>
                      <a:noFill/>
                    </a:ln>
                  </pic:spPr>
                </pic:pic>
              </a:graphicData>
            </a:graphic>
          </wp:inline>
        </w:drawing>
      </w:r>
    </w:p>
    <w:p>
      <w:pPr>
        <w:spacing w:line="240" w:lineRule="auto"/>
        <w:ind w:firstLine="0" w:firstLineChars="0"/>
        <w:jc w:val="center"/>
        <w:rPr>
          <w:rFonts w:hint="eastAsia" w:ascii="宋体" w:hAnsi="宋体" w:eastAsia="宋体" w:cs="宋体"/>
          <w:b/>
          <w:bCs/>
        </w:rPr>
      </w:pPr>
      <w:r>
        <w:rPr>
          <w:rFonts w:hint="eastAsia" w:ascii="宋体" w:hAnsi="宋体" w:eastAsia="宋体" w:cs="宋体"/>
          <w:b/>
          <w:bCs/>
        </w:rPr>
        <w:t>照片1  北外排土场全景图</w:t>
      </w:r>
    </w:p>
    <w:p>
      <w:pPr>
        <w:ind w:firstLine="560"/>
        <w:rPr>
          <w:rFonts w:hint="eastAsia" w:ascii="宋体" w:hAnsi="宋体" w:eastAsia="宋体" w:cs="宋体"/>
        </w:rPr>
      </w:pPr>
      <w:r>
        <w:rPr>
          <w:rFonts w:hint="eastAsia" w:ascii="宋体" w:hAnsi="宋体" w:eastAsia="宋体" w:cs="宋体"/>
        </w:rPr>
        <w:t>（2）西南外排土场</w:t>
      </w:r>
    </w:p>
    <w:p>
      <w:pPr>
        <w:ind w:firstLine="560"/>
        <w:rPr>
          <w:rFonts w:hint="eastAsia" w:ascii="宋体" w:hAnsi="宋体" w:eastAsia="宋体" w:cs="宋体"/>
        </w:rPr>
      </w:pPr>
      <w:r>
        <w:rPr>
          <w:rFonts w:hint="eastAsia" w:ascii="宋体" w:hAnsi="宋体" w:eastAsia="宋体" w:cs="宋体"/>
        </w:rPr>
        <w:t>西南外排土场于2012年结束排土</w:t>
      </w:r>
      <w:r>
        <w:rPr>
          <w:rFonts w:hint="eastAsia" w:ascii="宋体" w:hAnsi="宋体" w:cs="宋体"/>
          <w:lang w:eastAsia="zh-CN"/>
        </w:rPr>
        <w:t>，现</w:t>
      </w:r>
      <w:r>
        <w:rPr>
          <w:rFonts w:hint="eastAsia" w:ascii="宋体" w:hAnsi="宋体" w:eastAsia="宋体" w:cs="宋体"/>
        </w:rPr>
        <w:t>形成955m、970m、985m、1000m，共计4个排土台阶，台阶高度15m，西南外排土场西侧帮坡角为17°，东北侧及东南侧帮坡角为14.7°，</w:t>
      </w:r>
      <w:r>
        <w:rPr>
          <w:rFonts w:hint="eastAsia" w:ascii="宋体" w:hAnsi="宋体" w:cs="宋体"/>
          <w:lang w:eastAsia="zh-CN"/>
        </w:rPr>
        <w:t>最终</w:t>
      </w:r>
      <w:r>
        <w:rPr>
          <w:rFonts w:hint="eastAsia" w:ascii="宋体" w:hAnsi="宋体" w:eastAsia="宋体" w:cs="宋体"/>
        </w:rPr>
        <w:t>排弃高度60m，占地总面积为0.5</w:t>
      </w:r>
      <w:r>
        <w:rPr>
          <w:rFonts w:hint="eastAsia" w:ascii="宋体" w:hAnsi="宋体" w:cs="宋体"/>
          <w:lang w:val="en-US" w:eastAsia="zh-CN"/>
        </w:rPr>
        <w:t>8</w:t>
      </w:r>
      <w:r>
        <w:rPr>
          <w:rFonts w:hint="eastAsia" w:ascii="宋体" w:hAnsi="宋体" w:eastAsia="宋体" w:cs="宋体"/>
        </w:rPr>
        <w:t>km</w:t>
      </w:r>
      <w:r>
        <w:rPr>
          <w:rFonts w:hint="eastAsia" w:ascii="宋体" w:hAnsi="宋体" w:eastAsia="宋体" w:cs="宋体"/>
          <w:vertAlign w:val="superscript"/>
        </w:rPr>
        <w:t>2</w:t>
      </w:r>
      <w:r>
        <w:rPr>
          <w:rFonts w:hint="eastAsia" w:ascii="宋体" w:hAnsi="宋体" w:eastAsia="宋体" w:cs="宋体"/>
        </w:rPr>
        <w:t>，</w:t>
      </w:r>
      <w:r>
        <w:rPr>
          <w:rFonts w:hint="eastAsia" w:ascii="宋体" w:hAnsi="宋体" w:cs="宋体"/>
          <w:lang w:eastAsia="zh-CN"/>
        </w:rPr>
        <w:t>现</w:t>
      </w:r>
      <w:r>
        <w:rPr>
          <w:rFonts w:hint="eastAsia" w:ascii="宋体" w:hAnsi="宋体" w:eastAsia="宋体" w:cs="宋体"/>
        </w:rPr>
        <w:t>已完成复垦绿化</w:t>
      </w:r>
      <w:r>
        <w:rPr>
          <w:rFonts w:hint="eastAsia" w:ascii="宋体" w:hAnsi="宋体" w:cs="宋体"/>
          <w:lang w:eastAsia="zh-CN"/>
        </w:rPr>
        <w:t>，复垦率</w:t>
      </w:r>
      <w:r>
        <w:rPr>
          <w:rFonts w:hint="eastAsia" w:ascii="宋体" w:hAnsi="宋体" w:cs="宋体"/>
          <w:lang w:val="en-US" w:eastAsia="zh-CN"/>
        </w:rPr>
        <w:t>100%</w:t>
      </w:r>
      <w:r>
        <w:rPr>
          <w:rFonts w:hint="eastAsia" w:ascii="宋体" w:hAnsi="宋体" w:eastAsia="宋体" w:cs="宋体"/>
        </w:rPr>
        <w:t>。</w:t>
      </w:r>
    </w:p>
    <w:p>
      <w:pPr>
        <w:pStyle w:val="9"/>
        <w:ind w:firstLine="0" w:firstLineChars="0"/>
        <w:rPr>
          <w:rFonts w:hint="eastAsia" w:ascii="宋体" w:hAnsi="宋体" w:eastAsia="宋体" w:cs="宋体"/>
        </w:rPr>
      </w:pPr>
      <w:r>
        <w:rPr>
          <w:rFonts w:hint="eastAsia" w:ascii="宋体" w:hAnsi="宋体" w:eastAsia="宋体" w:cs="宋体"/>
        </w:rPr>
        <w:drawing>
          <wp:inline distT="0" distB="0" distL="0" distR="0">
            <wp:extent cx="5270500" cy="2898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t="13803"/>
                    <a:stretch>
                      <a:fillRect/>
                    </a:stretch>
                  </pic:blipFill>
                  <pic:spPr>
                    <a:xfrm>
                      <a:off x="0" y="0"/>
                      <a:ext cx="5270500" cy="2898775"/>
                    </a:xfrm>
                    <a:prstGeom prst="rect">
                      <a:avLst/>
                    </a:prstGeom>
                    <a:noFill/>
                    <a:ln>
                      <a:noFill/>
                    </a:ln>
                  </pic:spPr>
                </pic:pic>
              </a:graphicData>
            </a:graphic>
          </wp:inline>
        </w:drawing>
      </w:r>
    </w:p>
    <w:p>
      <w:pPr>
        <w:pStyle w:val="9"/>
        <w:ind w:firstLine="0" w:firstLineChars="0"/>
        <w:rPr>
          <w:rFonts w:hint="default" w:ascii="宋体" w:hAnsi="宋体" w:eastAsia="宋体" w:cs="宋体"/>
          <w:lang w:val="en-US"/>
        </w:rPr>
      </w:pPr>
      <w:r>
        <w:rPr>
          <w:rFonts w:hint="default" w:ascii="宋体" w:hAnsi="宋体" w:eastAsia="宋体" w:cs="宋体"/>
          <w:lang w:val="en-US"/>
        </w:rPr>
        <w:drawing>
          <wp:inline distT="0" distB="0" distL="114300" distR="114300">
            <wp:extent cx="5264785" cy="2747010"/>
            <wp:effectExtent l="0" t="0" r="0" b="0"/>
            <wp:docPr id="2" name="图片 2" descr="96bcb1ec47a8ced7c9cdd94cd4a3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bcb1ec47a8ced7c9cdd94cd4a3a72"/>
                    <pic:cNvPicPr>
                      <a:picLocks noChangeAspect="1"/>
                    </pic:cNvPicPr>
                  </pic:nvPicPr>
                  <pic:blipFill>
                    <a:blip r:embed="rId18"/>
                    <a:srcRect t="21218" b="9243"/>
                    <a:stretch>
                      <a:fillRect/>
                    </a:stretch>
                  </pic:blipFill>
                  <pic:spPr>
                    <a:xfrm>
                      <a:off x="0" y="0"/>
                      <a:ext cx="5264785" cy="2747010"/>
                    </a:xfrm>
                    <a:prstGeom prst="rect">
                      <a:avLst/>
                    </a:prstGeom>
                  </pic:spPr>
                </pic:pic>
              </a:graphicData>
            </a:graphic>
          </wp:inline>
        </w:drawing>
      </w:r>
    </w:p>
    <w:p>
      <w:pPr>
        <w:pStyle w:val="9"/>
        <w:ind w:firstLine="0" w:firstLineChars="0"/>
        <w:rPr>
          <w:rFonts w:hint="default" w:ascii="宋体" w:hAnsi="宋体" w:eastAsia="宋体" w:cs="宋体"/>
          <w:lang w:val="en-US"/>
        </w:rPr>
      </w:pPr>
      <w:r>
        <w:rPr>
          <w:rFonts w:hint="default" w:ascii="宋体" w:hAnsi="宋体" w:eastAsia="宋体" w:cs="宋体"/>
          <w:lang w:val="en-US"/>
        </w:rPr>
        <w:drawing>
          <wp:inline distT="0" distB="0" distL="114300" distR="114300">
            <wp:extent cx="5264785" cy="2449195"/>
            <wp:effectExtent l="0" t="0" r="0" b="0"/>
            <wp:docPr id="10" name="图片 10" descr="3620fcec0c004b4c84a8d75af511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20fcec0c004b4c84a8d75af511de6"/>
                    <pic:cNvPicPr>
                      <a:picLocks noChangeAspect="1"/>
                    </pic:cNvPicPr>
                  </pic:nvPicPr>
                  <pic:blipFill>
                    <a:blip r:embed="rId19"/>
                    <a:srcRect t="38000"/>
                    <a:stretch>
                      <a:fillRect/>
                    </a:stretch>
                  </pic:blipFill>
                  <pic:spPr>
                    <a:xfrm>
                      <a:off x="0" y="0"/>
                      <a:ext cx="5264785" cy="2449195"/>
                    </a:xfrm>
                    <a:prstGeom prst="rect">
                      <a:avLst/>
                    </a:prstGeom>
                  </pic:spPr>
                </pic:pic>
              </a:graphicData>
            </a:graphic>
          </wp:inline>
        </w:drawing>
      </w:r>
    </w:p>
    <w:p>
      <w:pPr>
        <w:ind w:firstLine="0" w:firstLineChars="0"/>
        <w:jc w:val="center"/>
        <w:rPr>
          <w:rFonts w:hint="eastAsia" w:ascii="宋体" w:hAnsi="宋体" w:eastAsia="宋体" w:cs="宋体"/>
        </w:rPr>
      </w:pPr>
      <w:r>
        <w:rPr>
          <w:rFonts w:hint="eastAsia" w:ascii="宋体" w:hAnsi="宋体" w:eastAsia="宋体" w:cs="宋体"/>
          <w:b/>
          <w:bCs/>
        </w:rPr>
        <w:t>照片2  西南外排土场</w:t>
      </w:r>
      <w:r>
        <w:rPr>
          <w:rFonts w:hint="eastAsia" w:ascii="宋体" w:hAnsi="宋体" w:cs="宋体"/>
          <w:b/>
          <w:bCs/>
          <w:lang w:eastAsia="zh-CN"/>
        </w:rPr>
        <w:t>远</w:t>
      </w:r>
      <w:r>
        <w:rPr>
          <w:rFonts w:hint="eastAsia" w:ascii="宋体" w:hAnsi="宋体" w:eastAsia="宋体" w:cs="宋体"/>
          <w:b/>
          <w:bCs/>
        </w:rPr>
        <w:t>景图</w:t>
      </w:r>
    </w:p>
    <w:p>
      <w:pPr>
        <w:ind w:firstLine="560"/>
        <w:rPr>
          <w:rFonts w:hint="eastAsia" w:ascii="宋体" w:hAnsi="宋体" w:eastAsia="宋体" w:cs="宋体"/>
        </w:rPr>
      </w:pPr>
      <w:r>
        <w:rPr>
          <w:rFonts w:hint="eastAsia" w:ascii="宋体" w:hAnsi="宋体" w:eastAsia="宋体" w:cs="宋体"/>
        </w:rPr>
        <w:t>3、工业场地及施工单位驻地</w:t>
      </w:r>
    </w:p>
    <w:p>
      <w:pPr>
        <w:ind w:firstLine="560"/>
        <w:rPr>
          <w:rFonts w:hint="eastAsia" w:ascii="宋体" w:hAnsi="宋体" w:eastAsia="宋体" w:cs="宋体"/>
        </w:rPr>
      </w:pPr>
      <w:r>
        <w:rPr>
          <w:rFonts w:hint="eastAsia" w:ascii="宋体" w:hAnsi="宋体" w:eastAsia="宋体" w:cs="宋体"/>
        </w:rPr>
        <w:t>（1）工业场地</w:t>
      </w:r>
    </w:p>
    <w:p>
      <w:pPr>
        <w:ind w:firstLine="560"/>
        <w:rPr>
          <w:rFonts w:hint="eastAsia" w:ascii="宋体" w:hAnsi="宋体" w:eastAsia="宋体" w:cs="宋体"/>
        </w:rPr>
      </w:pPr>
      <w:r>
        <w:rPr>
          <w:rFonts w:hint="eastAsia" w:ascii="宋体" w:hAnsi="宋体" w:eastAsia="宋体" w:cs="宋体"/>
        </w:rPr>
        <w:t>工业场地布设在首采区西北侧约1.3km处、北外排土场西侧及南排土场北侧，靠近外部进场公路，占地面积为0.64km</w:t>
      </w:r>
      <w:r>
        <w:rPr>
          <w:rFonts w:hint="eastAsia" w:ascii="宋体" w:hAnsi="宋体" w:eastAsia="宋体" w:cs="宋体"/>
          <w:vertAlign w:val="superscript"/>
        </w:rPr>
        <w:t>2</w:t>
      </w:r>
      <w:r>
        <w:rPr>
          <w:rFonts w:hint="eastAsia" w:ascii="宋体" w:hAnsi="宋体" w:eastAsia="宋体" w:cs="宋体"/>
        </w:rPr>
        <w:t>，自西向东依次布置有行政福利区及生产辅助设施区</w:t>
      </w:r>
      <w:r>
        <w:rPr>
          <w:rFonts w:hint="eastAsia" w:ascii="宋体" w:hAnsi="宋体" w:cs="宋体"/>
          <w:lang w:eastAsia="zh-CN"/>
        </w:rPr>
        <w:t>。现建设工程影响范围内，除去矿区道路及建筑占用范围的其它区域均已完成绿化、美化工作</w:t>
      </w:r>
      <w:r>
        <w:rPr>
          <w:rFonts w:hint="eastAsia" w:ascii="宋体" w:hAnsi="宋体" w:eastAsia="宋体" w:cs="宋体"/>
        </w:rPr>
        <w:t>。</w:t>
      </w:r>
    </w:p>
    <w:p>
      <w:pPr>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6055" cy="3948430"/>
            <wp:effectExtent l="0" t="0" r="10795" b="13970"/>
            <wp:docPr id="30" name="图片 30" descr="f908b5303dc06cecaee102263c21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908b5303dc06cecaee102263c21bd0"/>
                    <pic:cNvPicPr>
                      <a:picLocks noChangeAspect="1"/>
                    </pic:cNvPicPr>
                  </pic:nvPicPr>
                  <pic:blipFill>
                    <a:blip r:embed="rId20"/>
                    <a:srcRect/>
                    <a:stretch>
                      <a:fillRect/>
                    </a:stretch>
                  </pic:blipFill>
                  <pic:spPr>
                    <a:xfrm>
                      <a:off x="0" y="0"/>
                      <a:ext cx="5266113" cy="3948545"/>
                    </a:xfrm>
                    <a:prstGeom prst="rect">
                      <a:avLst/>
                    </a:prstGeom>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照片3  工业场地公寓楼</w:t>
      </w:r>
    </w:p>
    <w:p>
      <w:pPr>
        <w:spacing w:line="240" w:lineRule="atLeast"/>
        <w:ind w:firstLine="0" w:firstLineChars="0"/>
        <w:jc w:val="center"/>
        <w:rPr>
          <w:rFonts w:hint="eastAsia" w:ascii="宋体" w:hAnsi="宋体" w:eastAsia="宋体" w:cs="宋体"/>
        </w:rPr>
      </w:pPr>
      <w:r>
        <w:rPr>
          <w:rFonts w:hint="eastAsia" w:ascii="宋体" w:hAnsi="宋体" w:eastAsia="宋体" w:cs="宋体"/>
          <w:szCs w:val="28"/>
        </w:rPr>
        <w:drawing>
          <wp:inline distT="0" distB="0" distL="0" distR="0">
            <wp:extent cx="5361940" cy="3013075"/>
            <wp:effectExtent l="0" t="0" r="10160" b="15875"/>
            <wp:docPr id="772937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3735" name="图片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61709" cy="3013364"/>
                    </a:xfrm>
                    <a:prstGeom prst="rect">
                      <a:avLst/>
                    </a:prstGeom>
                  </pic:spPr>
                </pic:pic>
              </a:graphicData>
            </a:graphic>
          </wp:inline>
        </w:drawing>
      </w:r>
    </w:p>
    <w:p>
      <w:pPr>
        <w:pStyle w:val="15"/>
        <w:ind w:firstLine="0" w:firstLineChars="0"/>
        <w:jc w:val="center"/>
        <w:rPr>
          <w:rFonts w:hint="eastAsia" w:ascii="宋体" w:hAnsi="宋体" w:eastAsia="宋体" w:cs="宋体"/>
        </w:rPr>
      </w:pPr>
      <w:r>
        <w:rPr>
          <w:rFonts w:hint="eastAsia" w:ascii="宋体" w:hAnsi="宋体" w:eastAsia="宋体" w:cs="宋体"/>
          <w:b/>
          <w:bCs/>
        </w:rPr>
        <w:t>照片4  工业场地办公楼</w:t>
      </w:r>
    </w:p>
    <w:tbl>
      <w:tblPr>
        <w:tblStyle w:val="16"/>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0"/>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2" w:hRule="atLeast"/>
          <w:jc w:val="center"/>
        </w:trPr>
        <w:tc>
          <w:tcPr>
            <w:tcW w:w="4190" w:type="dxa"/>
            <w:shd w:val="clear" w:color="auto" w:fill="auto"/>
          </w:tcPr>
          <w:p>
            <w:pPr>
              <w:ind w:firstLine="0" w:firstLineChars="0"/>
              <w:jc w:val="left"/>
              <w:rPr>
                <w:rFonts w:hint="eastAsia" w:ascii="宋体" w:hAnsi="宋体" w:eastAsia="宋体" w:cs="宋体"/>
                <w:bCs/>
                <w:szCs w:val="28"/>
              </w:rPr>
            </w:pPr>
            <w:r>
              <w:rPr>
                <w:rFonts w:hint="eastAsia" w:ascii="宋体" w:hAnsi="宋体" w:eastAsia="宋体" w:cs="宋体"/>
                <w:bCs/>
                <w:szCs w:val="28"/>
              </w:rPr>
              <w:drawing>
                <wp:inline distT="0" distB="0" distL="0" distR="0">
                  <wp:extent cx="2559050" cy="3176905"/>
                  <wp:effectExtent l="0" t="0" r="12700" b="4445"/>
                  <wp:docPr id="1534616629" name="图片 44" descr="c281a9481a521bef84b7e197df89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16629" name="图片 44" descr="c281a9481a521bef84b7e197df89cc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59050" cy="3176905"/>
                          </a:xfrm>
                          <a:prstGeom prst="rect">
                            <a:avLst/>
                          </a:prstGeom>
                          <a:noFill/>
                          <a:ln>
                            <a:noFill/>
                          </a:ln>
                        </pic:spPr>
                      </pic:pic>
                    </a:graphicData>
                  </a:graphic>
                </wp:inline>
              </w:drawing>
            </w:r>
          </w:p>
        </w:tc>
        <w:tc>
          <w:tcPr>
            <w:tcW w:w="4190" w:type="dxa"/>
            <w:shd w:val="clear" w:color="auto" w:fill="auto"/>
          </w:tcPr>
          <w:p>
            <w:pPr>
              <w:ind w:firstLine="0" w:firstLineChars="0"/>
              <w:jc w:val="left"/>
              <w:rPr>
                <w:rFonts w:hint="eastAsia" w:ascii="宋体" w:hAnsi="宋体" w:eastAsia="宋体" w:cs="宋体"/>
                <w:bCs/>
                <w:szCs w:val="28"/>
              </w:rPr>
            </w:pPr>
            <w:r>
              <w:rPr>
                <w:rFonts w:hint="eastAsia" w:ascii="宋体" w:hAnsi="宋体" w:eastAsia="宋体" w:cs="宋体"/>
                <w:bCs/>
                <w:szCs w:val="28"/>
              </w:rPr>
              <w:drawing>
                <wp:inline distT="0" distB="0" distL="0" distR="0">
                  <wp:extent cx="2568575" cy="3176905"/>
                  <wp:effectExtent l="0" t="0" r="3175" b="4445"/>
                  <wp:docPr id="1153527498" name="图片 43" descr="14fa50ca9f6fa2bd652c7c3ba836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7498" name="图片 43" descr="14fa50ca9f6fa2bd652c7c3ba8365c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68575" cy="3176905"/>
                          </a:xfrm>
                          <a:prstGeom prst="rect">
                            <a:avLst/>
                          </a:prstGeom>
                          <a:noFill/>
                          <a:ln>
                            <a:noFill/>
                          </a:ln>
                        </pic:spPr>
                      </pic:pic>
                    </a:graphicData>
                  </a:graphic>
                </wp:inline>
              </w:drawing>
            </w:r>
          </w:p>
        </w:tc>
      </w:tr>
    </w:tbl>
    <w:p>
      <w:pPr>
        <w:ind w:firstLine="562"/>
        <w:jc w:val="center"/>
      </w:pPr>
      <w:r>
        <w:rPr>
          <w:rFonts w:hint="eastAsia" w:ascii="宋体" w:hAnsi="宋体" w:eastAsia="宋体" w:cs="宋体"/>
          <w:b/>
          <w:bCs/>
        </w:rPr>
        <w:t>照片5   工业场地公园</w:t>
      </w:r>
    </w:p>
    <w:tbl>
      <w:tblPr>
        <w:tblStyle w:val="16"/>
        <w:tblW w:w="8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0"/>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1" w:hRule="atLeast"/>
          <w:jc w:val="center"/>
        </w:trPr>
        <w:tc>
          <w:tcPr>
            <w:tcW w:w="4190" w:type="dxa"/>
            <w:shd w:val="clear" w:color="auto" w:fill="auto"/>
          </w:tcPr>
          <w:p>
            <w:pPr>
              <w:ind w:firstLine="0" w:firstLineChars="0"/>
              <w:jc w:val="left"/>
              <w:rPr>
                <w:rFonts w:hint="eastAsia" w:ascii="宋体" w:hAnsi="宋体" w:eastAsia="宋体" w:cs="宋体"/>
                <w:bCs/>
                <w:szCs w:val="28"/>
              </w:rPr>
            </w:pPr>
            <w:r>
              <w:rPr>
                <w:rFonts w:hint="eastAsia" w:ascii="宋体" w:hAnsi="宋体" w:eastAsia="宋体" w:cs="宋体"/>
                <w:bCs/>
                <w:szCs w:val="28"/>
              </w:rPr>
              <w:drawing>
                <wp:inline distT="0" distB="0" distL="0" distR="0">
                  <wp:extent cx="2568575" cy="2894965"/>
                  <wp:effectExtent l="0" t="0" r="3175" b="635"/>
                  <wp:docPr id="646525310" name="图片 42" descr="d43f15a05b4c28f041272873361d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25310" name="图片 42" descr="d43f15a05b4c28f041272873361d6a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68575" cy="2894965"/>
                          </a:xfrm>
                          <a:prstGeom prst="rect">
                            <a:avLst/>
                          </a:prstGeom>
                          <a:noFill/>
                          <a:ln>
                            <a:noFill/>
                          </a:ln>
                        </pic:spPr>
                      </pic:pic>
                    </a:graphicData>
                  </a:graphic>
                </wp:inline>
              </w:drawing>
            </w:r>
          </w:p>
        </w:tc>
        <w:tc>
          <w:tcPr>
            <w:tcW w:w="4190" w:type="dxa"/>
            <w:shd w:val="clear" w:color="auto" w:fill="auto"/>
          </w:tcPr>
          <w:p>
            <w:pPr>
              <w:ind w:firstLine="0" w:firstLineChars="0"/>
              <w:jc w:val="left"/>
              <w:rPr>
                <w:rFonts w:hint="eastAsia" w:ascii="宋体" w:hAnsi="宋体" w:eastAsia="宋体" w:cs="宋体"/>
                <w:bCs/>
                <w:szCs w:val="28"/>
              </w:rPr>
            </w:pPr>
            <w:r>
              <w:rPr>
                <w:rFonts w:hint="eastAsia" w:ascii="宋体" w:hAnsi="宋体" w:eastAsia="宋体" w:cs="宋体"/>
                <w:bCs/>
                <w:szCs w:val="28"/>
              </w:rPr>
              <w:drawing>
                <wp:inline distT="0" distB="0" distL="0" distR="0">
                  <wp:extent cx="2568575" cy="2874010"/>
                  <wp:effectExtent l="0" t="0" r="3175" b="2540"/>
                  <wp:docPr id="199184140" name="图片 41" descr="dd8fe4d046f68735ac7cccf6df95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4140" name="图片 41" descr="dd8fe4d046f68735ac7cccf6df95c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68575" cy="2874010"/>
                          </a:xfrm>
                          <a:prstGeom prst="rect">
                            <a:avLst/>
                          </a:prstGeom>
                          <a:noFill/>
                          <a:ln>
                            <a:noFill/>
                          </a:ln>
                        </pic:spPr>
                      </pic:pic>
                    </a:graphicData>
                  </a:graphic>
                </wp:inline>
              </w:drawing>
            </w:r>
          </w:p>
        </w:tc>
      </w:tr>
    </w:tbl>
    <w:p>
      <w:pPr>
        <w:ind w:firstLine="562"/>
        <w:jc w:val="center"/>
        <w:rPr>
          <w:rFonts w:hint="eastAsia" w:ascii="宋体" w:hAnsi="宋体" w:eastAsia="宋体" w:cs="宋体"/>
        </w:rPr>
      </w:pPr>
      <w:r>
        <w:rPr>
          <w:rFonts w:hint="eastAsia" w:ascii="宋体" w:hAnsi="宋体" w:eastAsia="宋体" w:cs="宋体"/>
          <w:b/>
          <w:bCs/>
        </w:rPr>
        <w:t>照片</w:t>
      </w:r>
      <w:r>
        <w:rPr>
          <w:rFonts w:hint="eastAsia" w:ascii="宋体" w:hAnsi="宋体" w:cs="宋体"/>
          <w:b/>
          <w:bCs/>
          <w:lang w:val="en-US" w:eastAsia="zh-CN"/>
        </w:rPr>
        <w:t>6</w:t>
      </w:r>
      <w:r>
        <w:rPr>
          <w:rFonts w:hint="eastAsia" w:ascii="宋体" w:hAnsi="宋体" w:eastAsia="宋体" w:cs="宋体"/>
          <w:b/>
          <w:bCs/>
        </w:rPr>
        <w:t xml:space="preserve">   工业场地公园</w:t>
      </w:r>
    </w:p>
    <w:p>
      <w:pPr>
        <w:ind w:firstLine="560"/>
        <w:rPr>
          <w:rFonts w:hint="eastAsia" w:ascii="宋体" w:hAnsi="宋体" w:eastAsia="宋体" w:cs="宋体"/>
        </w:rPr>
      </w:pPr>
      <w:r>
        <w:rPr>
          <w:rFonts w:hint="eastAsia" w:ascii="宋体" w:hAnsi="宋体" w:eastAsia="宋体" w:cs="宋体"/>
        </w:rPr>
        <w:t>2）施工单位驻地</w:t>
      </w:r>
    </w:p>
    <w:p>
      <w:pPr>
        <w:ind w:firstLine="560"/>
        <w:rPr>
          <w:rFonts w:hint="eastAsia" w:ascii="宋体" w:hAnsi="宋体" w:eastAsia="宋体" w:cs="宋体"/>
        </w:rPr>
      </w:pPr>
      <w:r>
        <w:rPr>
          <w:rFonts w:hint="eastAsia" w:ascii="宋体" w:hAnsi="宋体" w:eastAsia="宋体" w:cs="宋体"/>
        </w:rPr>
        <w:t>施工单位驻地位于北外排土场南侧，占地总面积</w:t>
      </w:r>
      <w:r>
        <w:rPr>
          <w:rFonts w:hint="eastAsia" w:ascii="宋体" w:hAnsi="宋体" w:cs="宋体"/>
          <w:lang w:val="en-US" w:eastAsia="zh-CN"/>
        </w:rPr>
        <w:t>7.00</w:t>
      </w:r>
      <w:r>
        <w:rPr>
          <w:rFonts w:hint="eastAsia" w:ascii="宋体" w:hAnsi="宋体" w:eastAsia="宋体" w:cs="宋体"/>
        </w:rPr>
        <w:t>hm</w:t>
      </w:r>
      <w:r>
        <w:rPr>
          <w:rFonts w:hint="eastAsia" w:ascii="宋体" w:hAnsi="宋体" w:eastAsia="宋体" w:cs="宋体"/>
          <w:vertAlign w:val="superscript"/>
        </w:rPr>
        <w:t>2</w:t>
      </w:r>
      <w:r>
        <w:rPr>
          <w:rFonts w:hint="eastAsia" w:ascii="宋体" w:hAnsi="宋体" w:eastAsia="宋体" w:cs="宋体"/>
        </w:rPr>
        <w:t>，主要布置有宿舍、食堂、浴室、设备维修区域等，建筑结构为活动板房结构、砖混结构</w:t>
      </w:r>
      <w:r>
        <w:rPr>
          <w:rFonts w:hint="eastAsia" w:ascii="宋体" w:hAnsi="宋体" w:cs="宋体"/>
          <w:lang w:eastAsia="zh-CN"/>
        </w:rPr>
        <w:t>，其中活动板房建筑物面积约3000m</w:t>
      </w:r>
      <w:r>
        <w:rPr>
          <w:rFonts w:hint="eastAsia" w:ascii="宋体" w:hAnsi="宋体" w:cs="宋体"/>
          <w:vertAlign w:val="superscript"/>
          <w:lang w:eastAsia="zh-CN"/>
        </w:rPr>
        <w:t>2</w:t>
      </w:r>
      <w:r>
        <w:rPr>
          <w:rFonts w:hint="eastAsia" w:ascii="宋体" w:hAnsi="宋体" w:cs="宋体"/>
          <w:lang w:eastAsia="zh-CN"/>
        </w:rPr>
        <w:t>，其余部分为区内道路、停车场及物资堆放区</w:t>
      </w:r>
      <w:r>
        <w:rPr>
          <w:rFonts w:hint="eastAsia" w:ascii="宋体" w:hAnsi="宋体" w:eastAsia="宋体" w:cs="宋体"/>
        </w:rPr>
        <w:t>。</w:t>
      </w:r>
    </w:p>
    <w:p>
      <w:pPr>
        <w:ind w:firstLine="0" w:firstLineChars="0"/>
        <w:jc w:val="center"/>
        <w:rPr>
          <w:rFonts w:hint="eastAsia" w:ascii="宋体" w:hAnsi="宋体" w:eastAsia="宋体" w:cs="宋体"/>
        </w:rPr>
      </w:pPr>
      <w:r>
        <w:rPr>
          <w:rFonts w:hint="eastAsia" w:ascii="宋体" w:hAnsi="宋体" w:eastAsia="宋体" w:cs="宋体"/>
          <w:szCs w:val="28"/>
        </w:rPr>
        <w:drawing>
          <wp:inline distT="0" distB="0" distL="114300" distR="114300">
            <wp:extent cx="5134610" cy="2942590"/>
            <wp:effectExtent l="0" t="0" r="8890" b="10160"/>
            <wp:docPr id="35" name="图片 3" descr="6a282b440c440548cc2f5f6d51e5a3b"/>
            <wp:cNvGraphicFramePr/>
            <a:graphic xmlns:a="http://schemas.openxmlformats.org/drawingml/2006/main">
              <a:graphicData uri="http://schemas.openxmlformats.org/drawingml/2006/picture">
                <pic:pic xmlns:pic="http://schemas.openxmlformats.org/drawingml/2006/picture">
                  <pic:nvPicPr>
                    <pic:cNvPr id="35" name="图片 3" descr="6a282b440c440548cc2f5f6d51e5a3b"/>
                    <pic:cNvPicPr/>
                  </pic:nvPicPr>
                  <pic:blipFill>
                    <a:blip r:embed="rId26"/>
                    <a:stretch>
                      <a:fillRect/>
                    </a:stretch>
                  </pic:blipFill>
                  <pic:spPr>
                    <a:xfrm>
                      <a:off x="0" y="0"/>
                      <a:ext cx="5134610" cy="2942590"/>
                    </a:xfrm>
                    <a:prstGeom prst="rect">
                      <a:avLst/>
                    </a:prstGeom>
                    <a:noFill/>
                    <a:ln>
                      <a:noFill/>
                    </a:ln>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w:t>
      </w:r>
      <w:r>
        <w:rPr>
          <w:rFonts w:hint="eastAsia" w:ascii="宋体" w:hAnsi="宋体" w:cs="宋体"/>
          <w:b/>
          <w:bCs/>
          <w:lang w:val="en-US" w:eastAsia="zh-CN"/>
        </w:rPr>
        <w:t>7</w:t>
      </w:r>
      <w:r>
        <w:rPr>
          <w:rFonts w:hint="eastAsia" w:ascii="宋体" w:hAnsi="宋体" w:eastAsia="宋体" w:cs="宋体"/>
          <w:b/>
          <w:bCs/>
        </w:rPr>
        <w:t xml:space="preserve">  施工单位驻地</w:t>
      </w:r>
    </w:p>
    <w:p>
      <w:pPr>
        <w:pStyle w:val="15"/>
        <w:rPr>
          <w:rFonts w:hint="eastAsia" w:ascii="宋体" w:hAnsi="宋体" w:eastAsia="宋体" w:cs="宋体"/>
        </w:rPr>
      </w:pPr>
      <w:r>
        <w:rPr>
          <w:rFonts w:hint="eastAsia" w:ascii="宋体" w:hAnsi="宋体" w:eastAsia="宋体" w:cs="宋体"/>
        </w:rPr>
        <w:t>工业场地及施工单位驻地土地损毁类型主要为占用，地质灾害不发育，现状稳定，占用地类为天然牧草地</w:t>
      </w:r>
      <w:r>
        <w:rPr>
          <w:rFonts w:hint="eastAsia" w:ascii="宋体" w:hAnsi="宋体" w:cs="宋体"/>
          <w:lang w:eastAsia="zh-CN"/>
        </w:rPr>
        <w:t>、采矿用地、乔木林地等</w:t>
      </w:r>
      <w:r>
        <w:rPr>
          <w:rFonts w:hint="eastAsia" w:ascii="宋体" w:hAnsi="宋体" w:eastAsia="宋体" w:cs="宋体"/>
        </w:rPr>
        <w:t>。</w:t>
      </w:r>
    </w:p>
    <w:p>
      <w:pPr>
        <w:ind w:firstLine="560"/>
        <w:rPr>
          <w:rFonts w:hint="eastAsia" w:ascii="宋体" w:hAnsi="宋体" w:eastAsia="宋体" w:cs="宋体"/>
          <w:lang w:eastAsia="zh-CN"/>
        </w:rPr>
      </w:pPr>
      <w:r>
        <w:rPr>
          <w:rFonts w:hint="eastAsia" w:ascii="宋体" w:hAnsi="宋体" w:eastAsia="宋体" w:cs="宋体"/>
        </w:rPr>
        <w:t>4、选煤</w:t>
      </w:r>
      <w:r>
        <w:rPr>
          <w:rFonts w:hint="eastAsia" w:ascii="宋体" w:hAnsi="宋体" w:cs="宋体"/>
          <w:lang w:eastAsia="zh-CN"/>
        </w:rPr>
        <w:t>场</w:t>
      </w:r>
    </w:p>
    <w:p>
      <w:pPr>
        <w:ind w:firstLine="560"/>
        <w:rPr>
          <w:rFonts w:hint="eastAsia" w:ascii="宋体" w:hAnsi="宋体" w:eastAsia="宋体" w:cs="宋体"/>
        </w:rPr>
      </w:pPr>
      <w:r>
        <w:rPr>
          <w:rFonts w:hint="eastAsia" w:ascii="宋体" w:hAnsi="宋体" w:cs="宋体"/>
          <w:lang w:eastAsia="zh-CN"/>
        </w:rPr>
        <w:t>选煤场</w:t>
      </w:r>
      <w:r>
        <w:rPr>
          <w:rFonts w:hint="eastAsia" w:ascii="宋体" w:hAnsi="宋体" w:eastAsia="宋体" w:cs="宋体"/>
        </w:rPr>
        <w:t>位于采掘场的西北侧条带状布置，从东向西依次布置有破碎站、转载点、产品仓、铁路装车站、汽运装车站，各个单体之间煤流通过皮带完成。土地损毁类型主要为占用，地质灾害不发育，现状稳定，占用地类为</w:t>
      </w:r>
      <w:r>
        <w:rPr>
          <w:rFonts w:hint="eastAsia" w:ascii="宋体" w:hAnsi="宋体" w:cs="宋体"/>
          <w:lang w:eastAsia="zh-CN"/>
        </w:rPr>
        <w:t>天然牧草地、</w:t>
      </w:r>
      <w:r>
        <w:rPr>
          <w:rFonts w:hint="eastAsia" w:ascii="宋体" w:hAnsi="宋体" w:eastAsia="宋体" w:cs="宋体"/>
        </w:rPr>
        <w:t>采矿用地</w:t>
      </w:r>
      <w:r>
        <w:rPr>
          <w:rFonts w:hint="eastAsia" w:ascii="宋体" w:hAnsi="宋体" w:cs="宋体"/>
          <w:lang w:eastAsia="zh-CN"/>
        </w:rPr>
        <w:t>、工业用地等</w:t>
      </w:r>
      <w:r>
        <w:rPr>
          <w:rFonts w:hint="eastAsia" w:ascii="宋体" w:hAnsi="宋体" w:eastAsia="宋体" w:cs="宋体"/>
        </w:rPr>
        <w:t>。</w:t>
      </w:r>
    </w:p>
    <w:p>
      <w:pPr>
        <w:ind w:firstLine="560"/>
        <w:rPr>
          <w:rFonts w:hint="eastAsia" w:ascii="宋体" w:hAnsi="宋体" w:eastAsia="宋体" w:cs="宋体"/>
        </w:rPr>
      </w:pPr>
      <w:r>
        <w:rPr>
          <w:rFonts w:hint="eastAsia" w:ascii="宋体" w:hAnsi="宋体" w:eastAsia="宋体" w:cs="宋体"/>
        </w:rPr>
        <w:t>（1）破碎站</w:t>
      </w:r>
    </w:p>
    <w:p>
      <w:pPr>
        <w:ind w:firstLine="560"/>
        <w:rPr>
          <w:rFonts w:hint="eastAsia" w:ascii="宋体" w:hAnsi="宋体" w:eastAsia="宋体" w:cs="宋体"/>
        </w:rPr>
      </w:pPr>
      <w:r>
        <w:rPr>
          <w:rFonts w:hint="eastAsia" w:ascii="宋体" w:hAnsi="宋体" w:eastAsia="宋体" w:cs="宋体"/>
        </w:rPr>
        <w:t>芒来煤矿共设置2处破碎站（1号破碎站和2号破碎站），2处破碎站现状已进行了全封闭设计。1号破碎站位于采掘场首采区南侧300m处，占地面积为1.66hm</w:t>
      </w:r>
      <w:r>
        <w:rPr>
          <w:rFonts w:hint="eastAsia" w:ascii="宋体" w:hAnsi="宋体" w:eastAsia="宋体" w:cs="宋体"/>
          <w:vertAlign w:val="superscript"/>
        </w:rPr>
        <w:t>2</w:t>
      </w:r>
      <w:r>
        <w:rPr>
          <w:rFonts w:hint="eastAsia" w:ascii="宋体" w:hAnsi="宋体" w:eastAsia="宋体" w:cs="宋体"/>
        </w:rPr>
        <w:t>。2号破碎站位于西南外排土场东南侧，占地面积为1.84hm</w:t>
      </w:r>
      <w:r>
        <w:rPr>
          <w:rFonts w:hint="eastAsia" w:ascii="宋体" w:hAnsi="宋体" w:eastAsia="宋体" w:cs="宋体"/>
          <w:vertAlign w:val="superscript"/>
        </w:rPr>
        <w:t>2</w:t>
      </w:r>
      <w:r>
        <w:rPr>
          <w:rFonts w:hint="eastAsia" w:ascii="宋体" w:hAnsi="宋体" w:cs="宋体"/>
          <w:vertAlign w:val="baseline"/>
          <w:lang w:eastAsia="zh-CN"/>
        </w:rPr>
        <w:t>，现均使用中，不具备复垦绿化条件</w:t>
      </w:r>
      <w:r>
        <w:rPr>
          <w:rFonts w:hint="eastAsia" w:ascii="宋体" w:hAnsi="宋体" w:eastAsia="宋体" w:cs="宋体"/>
        </w:rPr>
        <w:t>。</w:t>
      </w:r>
    </w:p>
    <w:p>
      <w:pPr>
        <w:ind w:firstLine="0" w:firstLineChars="0"/>
        <w:jc w:val="center"/>
        <w:rPr>
          <w:rFonts w:hint="eastAsia" w:ascii="宋体" w:hAnsi="宋体" w:eastAsia="宋体" w:cs="宋体"/>
        </w:rPr>
      </w:pPr>
      <w:r>
        <w:rPr>
          <w:rFonts w:hint="eastAsia" w:ascii="宋体" w:hAnsi="宋体" w:eastAsia="宋体" w:cs="宋体"/>
          <w:szCs w:val="28"/>
        </w:rPr>
        <w:drawing>
          <wp:inline distT="0" distB="0" distL="0" distR="0">
            <wp:extent cx="5257800" cy="2747010"/>
            <wp:effectExtent l="0" t="0" r="0" b="15240"/>
            <wp:docPr id="1939300065" name="图片 737" descr="DSC_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00065" name="图片 737" descr="DSC_0425"/>
                    <pic:cNvPicPr>
                      <a:picLocks noChangeAspect="1" noChangeArrowheads="1"/>
                    </pic:cNvPicPr>
                  </pic:nvPicPr>
                  <pic:blipFill>
                    <a:blip r:embed="rId27" cstate="print">
                      <a:extLst>
                        <a:ext uri="{28A0092B-C50C-407E-A947-70E740481C1C}">
                          <a14:useLocalDpi xmlns:a14="http://schemas.microsoft.com/office/drawing/2010/main" val="0"/>
                        </a:ext>
                      </a:extLst>
                    </a:blip>
                    <a:srcRect b="21609"/>
                    <a:stretch>
                      <a:fillRect/>
                    </a:stretch>
                  </pic:blipFill>
                  <pic:spPr>
                    <a:xfrm>
                      <a:off x="0" y="0"/>
                      <a:ext cx="5260853" cy="2748741"/>
                    </a:xfrm>
                    <a:prstGeom prst="rect">
                      <a:avLst/>
                    </a:prstGeom>
                    <a:noFill/>
                    <a:ln>
                      <a:noFill/>
                    </a:ln>
                    <a:effectLst/>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w:t>
      </w:r>
      <w:r>
        <w:rPr>
          <w:rFonts w:hint="eastAsia" w:ascii="宋体" w:hAnsi="宋体" w:cs="宋体"/>
          <w:b/>
          <w:bCs/>
          <w:lang w:val="en-US" w:eastAsia="zh-CN"/>
        </w:rPr>
        <w:t>8</w:t>
      </w:r>
      <w:r>
        <w:rPr>
          <w:rFonts w:hint="eastAsia" w:ascii="宋体" w:hAnsi="宋体" w:eastAsia="宋体" w:cs="宋体"/>
          <w:b/>
          <w:bCs/>
        </w:rPr>
        <w:t xml:space="preserve">   1#破碎站</w:t>
      </w:r>
    </w:p>
    <w:p>
      <w:pPr>
        <w:ind w:firstLine="0" w:firstLineChars="0"/>
        <w:jc w:val="center"/>
        <w:rPr>
          <w:rFonts w:hint="eastAsia" w:ascii="宋体" w:hAnsi="宋体" w:eastAsia="宋体" w:cs="宋体"/>
        </w:rPr>
      </w:pPr>
      <w:r>
        <w:rPr>
          <w:rFonts w:hint="eastAsia" w:ascii="宋体" w:hAnsi="宋体" w:eastAsia="宋体" w:cs="宋体"/>
          <w:szCs w:val="28"/>
        </w:rPr>
        <w:drawing>
          <wp:inline distT="0" distB="0" distL="0" distR="0">
            <wp:extent cx="5252720" cy="3745865"/>
            <wp:effectExtent l="0" t="0" r="5080" b="6985"/>
            <wp:docPr id="240815933" name="图片 739" descr="DSC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5933" name="图片 739" descr="DSC_0421"/>
                    <pic:cNvPicPr>
                      <a:picLocks noChangeAspect="1" noChangeArrowheads="1"/>
                    </pic:cNvPicPr>
                  </pic:nvPicPr>
                  <pic:blipFill>
                    <a:blip r:embed="rId28" cstate="print">
                      <a:extLst>
                        <a:ext uri="{28A0092B-C50C-407E-A947-70E740481C1C}">
                          <a14:useLocalDpi xmlns:a14="http://schemas.microsoft.com/office/drawing/2010/main" val="0"/>
                        </a:ext>
                      </a:extLst>
                    </a:blip>
                    <a:srcRect r="2205" b="27232"/>
                    <a:stretch>
                      <a:fillRect/>
                    </a:stretch>
                  </pic:blipFill>
                  <pic:spPr>
                    <a:xfrm>
                      <a:off x="0" y="0"/>
                      <a:ext cx="5252720" cy="3745865"/>
                    </a:xfrm>
                    <a:prstGeom prst="rect">
                      <a:avLst/>
                    </a:prstGeom>
                    <a:noFill/>
                    <a:ln>
                      <a:noFill/>
                    </a:ln>
                    <a:effectLst/>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w:t>
      </w:r>
      <w:r>
        <w:rPr>
          <w:rFonts w:hint="eastAsia" w:ascii="宋体" w:hAnsi="宋体" w:cs="宋体"/>
          <w:b/>
          <w:bCs/>
          <w:lang w:val="en-US" w:eastAsia="zh-CN"/>
        </w:rPr>
        <w:t>9</w:t>
      </w:r>
      <w:r>
        <w:rPr>
          <w:rFonts w:hint="eastAsia" w:ascii="宋体" w:hAnsi="宋体" w:eastAsia="宋体" w:cs="宋体"/>
          <w:b/>
          <w:bCs/>
        </w:rPr>
        <w:t xml:space="preserve">   2#破碎站</w:t>
      </w:r>
    </w:p>
    <w:p>
      <w:pPr>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4785" cy="3950335"/>
            <wp:effectExtent l="0" t="0" r="12065" b="12065"/>
            <wp:docPr id="31" name="图片 31" descr="c34de6d2611a826293a238b56d86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34de6d2611a826293a238b56d86e44"/>
                    <pic:cNvPicPr>
                      <a:picLocks noChangeAspect="1"/>
                    </pic:cNvPicPr>
                  </pic:nvPicPr>
                  <pic:blipFill>
                    <a:blip r:embed="rId29"/>
                    <a:stretch>
                      <a:fillRect/>
                    </a:stretch>
                  </pic:blipFill>
                  <pic:spPr>
                    <a:xfrm>
                      <a:off x="0" y="0"/>
                      <a:ext cx="5264785" cy="3950335"/>
                    </a:xfrm>
                    <a:prstGeom prst="rect">
                      <a:avLst/>
                    </a:prstGeom>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w:t>
      </w:r>
      <w:r>
        <w:rPr>
          <w:rFonts w:hint="eastAsia" w:ascii="宋体" w:hAnsi="宋体" w:cs="宋体"/>
          <w:b/>
          <w:bCs/>
          <w:lang w:val="en-US" w:eastAsia="zh-CN"/>
        </w:rPr>
        <w:t>10</w:t>
      </w:r>
      <w:r>
        <w:rPr>
          <w:rFonts w:hint="eastAsia" w:ascii="宋体" w:hAnsi="宋体" w:eastAsia="宋体" w:cs="宋体"/>
          <w:b/>
          <w:bCs/>
        </w:rPr>
        <w:t xml:space="preserve">  封闭式破碎站</w:t>
      </w:r>
    </w:p>
    <w:p>
      <w:pPr>
        <w:spacing w:line="0" w:lineRule="atLeast"/>
        <w:ind w:firstLine="0" w:firstLineChars="0"/>
        <w:jc w:val="center"/>
        <w:rPr>
          <w:rFonts w:hint="eastAsia" w:ascii="宋体" w:hAnsi="宋体" w:eastAsia="宋体" w:cs="宋体"/>
          <w:b/>
          <w:bCs/>
        </w:rPr>
      </w:pPr>
    </w:p>
    <w:p>
      <w:pPr>
        <w:ind w:firstLine="560"/>
        <w:rPr>
          <w:rFonts w:hint="eastAsia" w:ascii="宋体" w:hAnsi="宋体" w:eastAsia="宋体" w:cs="宋体"/>
        </w:rPr>
      </w:pPr>
      <w:r>
        <w:rPr>
          <w:rFonts w:hint="eastAsia" w:ascii="宋体" w:hAnsi="宋体" w:eastAsia="宋体" w:cs="宋体"/>
        </w:rPr>
        <w:t>（2）转载点、产品仓、铁路装车站</w:t>
      </w:r>
    </w:p>
    <w:p>
      <w:pPr>
        <w:ind w:firstLine="560"/>
        <w:rPr>
          <w:rFonts w:hint="eastAsia" w:ascii="宋体" w:hAnsi="宋体" w:eastAsia="宋体" w:cs="宋体"/>
        </w:rPr>
      </w:pPr>
      <w:r>
        <w:rPr>
          <w:rFonts w:hint="eastAsia" w:ascii="宋体" w:hAnsi="宋体" w:eastAsia="宋体" w:cs="宋体"/>
        </w:rPr>
        <w:t>转载点、产品仓、铁路装车站占地总面积13.15hm</w:t>
      </w:r>
      <w:r>
        <w:rPr>
          <w:rFonts w:hint="eastAsia" w:ascii="宋体" w:hAnsi="宋体" w:eastAsia="宋体" w:cs="宋体"/>
          <w:vertAlign w:val="superscript"/>
        </w:rPr>
        <w:t>2</w:t>
      </w:r>
      <w:r>
        <w:rPr>
          <w:rFonts w:hint="eastAsia" w:ascii="宋体" w:hAnsi="宋体" w:eastAsia="宋体" w:cs="宋体"/>
        </w:rPr>
        <w:t>，位于采掘场的西北侧条带状布置，从东向西依次布置有转载点、产品仓、铁路装车站、汽运装车站，各个单体之间煤流通过皮带完成</w:t>
      </w:r>
      <w:r>
        <w:rPr>
          <w:rFonts w:hint="eastAsia" w:ascii="宋体" w:hAnsi="宋体" w:cs="宋体"/>
          <w:lang w:eastAsia="zh-CN"/>
        </w:rPr>
        <w:t>，</w:t>
      </w:r>
      <w:r>
        <w:rPr>
          <w:rFonts w:hint="eastAsia" w:ascii="宋体" w:hAnsi="宋体" w:cs="宋体"/>
          <w:vertAlign w:val="baseline"/>
          <w:lang w:eastAsia="zh-CN"/>
        </w:rPr>
        <w:t>现均使用中，不具备复垦绿化条件</w:t>
      </w:r>
      <w:r>
        <w:rPr>
          <w:rFonts w:hint="eastAsia" w:ascii="宋体" w:hAnsi="宋体" w:eastAsia="宋体" w:cs="宋体"/>
        </w:rPr>
        <w:t>。</w:t>
      </w:r>
    </w:p>
    <w:p>
      <w:pPr>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039995" cy="27895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t="16276"/>
                    <a:stretch>
                      <a:fillRect/>
                    </a:stretch>
                  </pic:blipFill>
                  <pic:spPr>
                    <a:xfrm>
                      <a:off x="0" y="0"/>
                      <a:ext cx="5040000" cy="2789555"/>
                    </a:xfrm>
                    <a:prstGeom prst="rect">
                      <a:avLst/>
                    </a:prstGeom>
                    <a:noFill/>
                    <a:ln>
                      <a:noFill/>
                    </a:ln>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照片1</w:t>
      </w:r>
      <w:r>
        <w:rPr>
          <w:rFonts w:hint="eastAsia" w:ascii="宋体" w:hAnsi="宋体" w:cs="宋体"/>
          <w:b/>
          <w:bCs/>
          <w:lang w:val="en-US" w:eastAsia="zh-CN"/>
        </w:rPr>
        <w:t>1</w:t>
      </w:r>
      <w:r>
        <w:rPr>
          <w:rFonts w:hint="eastAsia" w:ascii="宋体" w:hAnsi="宋体" w:eastAsia="宋体" w:cs="宋体"/>
          <w:b/>
          <w:bCs/>
        </w:rPr>
        <w:t xml:space="preserve">  转载点、产品仓、铁路装车站</w:t>
      </w:r>
    </w:p>
    <w:p>
      <w:pPr>
        <w:ind w:firstLine="0" w:firstLineChars="0"/>
        <w:jc w:val="center"/>
        <w:rPr>
          <w:rFonts w:hint="eastAsia" w:ascii="宋体" w:hAnsi="宋体" w:eastAsia="宋体" w:cs="宋体"/>
        </w:rPr>
      </w:pPr>
      <w:r>
        <w:rPr>
          <w:rFonts w:hint="eastAsia" w:ascii="宋体" w:hAnsi="宋体" w:eastAsia="宋体" w:cs="宋体"/>
          <w:szCs w:val="21"/>
        </w:rPr>
        <w:drawing>
          <wp:inline distT="0" distB="0" distL="114300" distR="114300">
            <wp:extent cx="5012055" cy="3475355"/>
            <wp:effectExtent l="0" t="0" r="0" b="0"/>
            <wp:docPr id="34" name="图片 2" descr="P30909-134649"/>
            <wp:cNvGraphicFramePr/>
            <a:graphic xmlns:a="http://schemas.openxmlformats.org/drawingml/2006/main">
              <a:graphicData uri="http://schemas.openxmlformats.org/drawingml/2006/picture">
                <pic:pic xmlns:pic="http://schemas.openxmlformats.org/drawingml/2006/picture">
                  <pic:nvPicPr>
                    <pic:cNvPr id="34" name="图片 2" descr="P30909-134649"/>
                    <pic:cNvPicPr/>
                  </pic:nvPicPr>
                  <pic:blipFill>
                    <a:blip r:embed="rId31"/>
                    <a:srcRect t="6795"/>
                    <a:stretch>
                      <a:fillRect/>
                    </a:stretch>
                  </pic:blipFill>
                  <pic:spPr>
                    <a:xfrm>
                      <a:off x="0" y="0"/>
                      <a:ext cx="5012055" cy="3475355"/>
                    </a:xfrm>
                    <a:prstGeom prst="rect">
                      <a:avLst/>
                    </a:prstGeom>
                    <a:noFill/>
                    <a:ln>
                      <a:noFill/>
                    </a:ln>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照片1</w:t>
      </w:r>
      <w:r>
        <w:rPr>
          <w:rFonts w:hint="eastAsia" w:ascii="宋体" w:hAnsi="宋体" w:cs="宋体"/>
          <w:b/>
          <w:bCs/>
          <w:lang w:val="en-US" w:eastAsia="zh-CN"/>
        </w:rPr>
        <w:t>2</w:t>
      </w:r>
      <w:r>
        <w:rPr>
          <w:rFonts w:hint="eastAsia" w:ascii="宋体" w:hAnsi="宋体" w:eastAsia="宋体" w:cs="宋体"/>
          <w:b/>
          <w:bCs/>
        </w:rPr>
        <w:t xml:space="preserve">  皮带输送装置及检修道路</w:t>
      </w:r>
    </w:p>
    <w:p>
      <w:pPr>
        <w:ind w:firstLine="560"/>
        <w:rPr>
          <w:rFonts w:hint="eastAsia" w:ascii="宋体" w:hAnsi="宋体" w:eastAsia="宋体" w:cs="宋体"/>
        </w:rPr>
      </w:pPr>
      <w:r>
        <w:rPr>
          <w:rFonts w:hint="eastAsia" w:ascii="宋体" w:hAnsi="宋体" w:eastAsia="宋体" w:cs="宋体"/>
        </w:rPr>
        <w:t>5、矿区道路</w:t>
      </w:r>
    </w:p>
    <w:p>
      <w:pPr>
        <w:ind w:firstLine="560"/>
        <w:rPr>
          <w:rFonts w:hint="eastAsia" w:ascii="宋体" w:hAnsi="宋体" w:eastAsia="宋体" w:cs="宋体"/>
        </w:rPr>
      </w:pPr>
      <w:r>
        <w:rPr>
          <w:rFonts w:hint="eastAsia" w:ascii="宋体" w:hAnsi="宋体" w:eastAsia="宋体" w:cs="宋体"/>
        </w:rPr>
        <w:t>芒来露天煤矿对外交通较为便利，道路有进场公路、工业场地联络公路、运煤公路、皮带走廊检修公路和场内道路，矿区道路总长约16.10km，占地面积为0.14km</w:t>
      </w:r>
      <w:r>
        <w:rPr>
          <w:rFonts w:hint="eastAsia" w:ascii="宋体" w:hAnsi="宋体" w:eastAsia="宋体" w:cs="宋体"/>
          <w:vertAlign w:val="superscript"/>
        </w:rPr>
        <w:t>2</w:t>
      </w:r>
      <w:r>
        <w:rPr>
          <w:rFonts w:hint="eastAsia" w:ascii="宋体" w:hAnsi="宋体" w:eastAsia="宋体" w:cs="宋体"/>
        </w:rPr>
        <w:t>。土地损毁类型主要为占用，地质灾害不发育，现状稳定，占用地类为采矿用地</w:t>
      </w:r>
      <w:r>
        <w:rPr>
          <w:rFonts w:hint="eastAsia" w:ascii="宋体" w:hAnsi="宋体" w:cs="宋体"/>
          <w:lang w:eastAsia="zh-CN"/>
        </w:rPr>
        <w:t>，</w:t>
      </w:r>
      <w:r>
        <w:rPr>
          <w:rFonts w:hint="eastAsia" w:ascii="宋体" w:hAnsi="宋体" w:cs="宋体"/>
          <w:vertAlign w:val="baseline"/>
          <w:lang w:eastAsia="zh-CN"/>
        </w:rPr>
        <w:t>现均使用中，不具备复垦绿化条件</w:t>
      </w:r>
      <w:r>
        <w:rPr>
          <w:rFonts w:hint="eastAsia" w:ascii="宋体" w:hAnsi="宋体" w:eastAsia="宋体" w:cs="宋体"/>
        </w:rPr>
        <w:t>。</w:t>
      </w:r>
    </w:p>
    <w:p>
      <w:pPr>
        <w:ind w:firstLine="560"/>
        <w:rPr>
          <w:rFonts w:hint="eastAsia" w:ascii="宋体" w:hAnsi="宋体" w:eastAsia="宋体" w:cs="宋体"/>
        </w:rPr>
      </w:pPr>
      <w:r>
        <w:rPr>
          <w:rFonts w:hint="eastAsia" w:ascii="宋体" w:hAnsi="宋体" w:eastAsia="宋体" w:cs="宋体"/>
        </w:rPr>
        <w:t>进场公路线路总长1.60km，路基宽12.0m，为沥青混凝土路面，占地面积为1.92hm</w:t>
      </w:r>
      <w:r>
        <w:rPr>
          <w:rFonts w:hint="eastAsia" w:ascii="宋体" w:hAnsi="宋体" w:eastAsia="宋体" w:cs="宋体"/>
          <w:vertAlign w:val="superscript"/>
        </w:rPr>
        <w:t>2</w:t>
      </w:r>
      <w:r>
        <w:rPr>
          <w:rFonts w:hint="eastAsia" w:ascii="宋体" w:hAnsi="宋体" w:eastAsia="宋体" w:cs="宋体"/>
        </w:rPr>
        <w:t>；工业场地联络公路线路全长1.47km，路基宽12.0m，为沥青混凝土路面，占地面积为1.76hm</w:t>
      </w:r>
      <w:r>
        <w:rPr>
          <w:rFonts w:hint="eastAsia" w:ascii="宋体" w:hAnsi="宋体" w:eastAsia="宋体" w:cs="宋体"/>
          <w:vertAlign w:val="superscript"/>
        </w:rPr>
        <w:t>2</w:t>
      </w:r>
      <w:r>
        <w:rPr>
          <w:rFonts w:hint="eastAsia" w:ascii="宋体" w:hAnsi="宋体" w:eastAsia="宋体" w:cs="宋体"/>
        </w:rPr>
        <w:t>；运煤公路线路全长0.94km，路基宽4.0m、7.0m，路面为水泥混凝土面层，占地面积为0.49hm</w:t>
      </w:r>
      <w:r>
        <w:rPr>
          <w:rFonts w:hint="eastAsia" w:ascii="宋体" w:hAnsi="宋体" w:eastAsia="宋体" w:cs="宋体"/>
          <w:vertAlign w:val="superscript"/>
        </w:rPr>
        <w:t>2</w:t>
      </w:r>
      <w:r>
        <w:rPr>
          <w:rFonts w:hint="eastAsia" w:ascii="宋体" w:hAnsi="宋体" w:eastAsia="宋体" w:cs="宋体"/>
        </w:rPr>
        <w:t>；皮带走廊检修公路线路全长3.39km，路基宽4.5m，路面为砂砾石，占地面积为1.53hm</w:t>
      </w:r>
      <w:r>
        <w:rPr>
          <w:rFonts w:hint="eastAsia" w:ascii="宋体" w:hAnsi="宋体" w:eastAsia="宋体" w:cs="宋体"/>
          <w:vertAlign w:val="superscript"/>
        </w:rPr>
        <w:t>2</w:t>
      </w:r>
      <w:r>
        <w:rPr>
          <w:rFonts w:hint="eastAsia" w:ascii="宋体" w:hAnsi="宋体" w:eastAsia="宋体" w:cs="宋体"/>
        </w:rPr>
        <w:t>；场内道路路面为沙石路、土路，总长约8.70km，宽约10m，占地面积为8.70hm</w:t>
      </w:r>
      <w:r>
        <w:rPr>
          <w:rFonts w:hint="eastAsia" w:ascii="宋体" w:hAnsi="宋体" w:eastAsia="宋体" w:cs="宋体"/>
          <w:vertAlign w:val="superscript"/>
        </w:rPr>
        <w:t>2</w:t>
      </w:r>
      <w:r>
        <w:rPr>
          <w:rFonts w:hint="eastAsia" w:ascii="宋体" w:hAnsi="宋体" w:eastAsia="宋体" w:cs="宋体"/>
        </w:rPr>
        <w:t>。</w:t>
      </w:r>
    </w:p>
    <w:p>
      <w:pPr>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4785" cy="3950335"/>
            <wp:effectExtent l="0" t="0" r="12065" b="12065"/>
            <wp:docPr id="32" name="图片 32" descr="8dcfbcab7e1effa2f98888ca912c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dcfbcab7e1effa2f98888ca912cf67"/>
                    <pic:cNvPicPr>
                      <a:picLocks noChangeAspect="1"/>
                    </pic:cNvPicPr>
                  </pic:nvPicPr>
                  <pic:blipFill>
                    <a:blip r:embed="rId32"/>
                    <a:stretch>
                      <a:fillRect/>
                    </a:stretch>
                  </pic:blipFill>
                  <pic:spPr>
                    <a:xfrm>
                      <a:off x="0" y="0"/>
                      <a:ext cx="5264785" cy="3950335"/>
                    </a:xfrm>
                    <a:prstGeom prst="rect">
                      <a:avLst/>
                    </a:prstGeom>
                  </pic:spPr>
                </pic:pic>
              </a:graphicData>
            </a:graphic>
          </wp:inline>
        </w:drawing>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照片1</w:t>
      </w:r>
      <w:r>
        <w:rPr>
          <w:rFonts w:hint="eastAsia" w:ascii="宋体" w:hAnsi="宋体" w:cs="宋体"/>
          <w:b/>
          <w:bCs/>
          <w:lang w:val="en-US" w:eastAsia="zh-CN"/>
        </w:rPr>
        <w:t>3</w:t>
      </w:r>
      <w:r>
        <w:rPr>
          <w:rFonts w:hint="eastAsia" w:ascii="宋体" w:hAnsi="宋体" w:eastAsia="宋体" w:cs="宋体"/>
          <w:b/>
          <w:bCs/>
        </w:rPr>
        <w:t xml:space="preserve">  进场道路（满都拉图-芒来公路）</w:t>
      </w:r>
    </w:p>
    <w:p>
      <w:pPr>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4785" cy="3950335"/>
            <wp:effectExtent l="0" t="0" r="12065" b="12065"/>
            <wp:docPr id="33" name="图片 33" descr="65281fc97f0d998a17608b5310e9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5281fc97f0d998a17608b5310e9d19"/>
                    <pic:cNvPicPr>
                      <a:picLocks noChangeAspect="1"/>
                    </pic:cNvPicPr>
                  </pic:nvPicPr>
                  <pic:blipFill>
                    <a:blip r:embed="rId33"/>
                    <a:stretch>
                      <a:fillRect/>
                    </a:stretch>
                  </pic:blipFill>
                  <pic:spPr>
                    <a:xfrm>
                      <a:off x="0" y="0"/>
                      <a:ext cx="5264785" cy="3950335"/>
                    </a:xfrm>
                    <a:prstGeom prst="rect">
                      <a:avLst/>
                    </a:prstGeom>
                  </pic:spPr>
                </pic:pic>
              </a:graphicData>
            </a:graphic>
          </wp:inline>
        </w:drawing>
      </w:r>
    </w:p>
    <w:p>
      <w:pPr>
        <w:pStyle w:val="15"/>
        <w:ind w:firstLine="562"/>
        <w:jc w:val="center"/>
        <w:rPr>
          <w:rFonts w:hint="eastAsia" w:ascii="宋体" w:hAnsi="宋体" w:eastAsia="宋体" w:cs="宋体"/>
        </w:rPr>
      </w:pPr>
      <w:r>
        <w:rPr>
          <w:rFonts w:hint="eastAsia" w:ascii="宋体" w:hAnsi="宋体" w:eastAsia="宋体" w:cs="宋体"/>
          <w:b/>
          <w:bCs/>
        </w:rPr>
        <w:t>照片1</w:t>
      </w:r>
      <w:r>
        <w:rPr>
          <w:rFonts w:hint="eastAsia" w:ascii="宋体" w:hAnsi="宋体" w:cs="宋体"/>
          <w:b/>
          <w:bCs/>
          <w:lang w:val="en-US" w:eastAsia="zh-CN"/>
        </w:rPr>
        <w:t>4</w:t>
      </w:r>
      <w:r>
        <w:rPr>
          <w:rFonts w:hint="eastAsia" w:ascii="宋体" w:hAnsi="宋体" w:eastAsia="宋体" w:cs="宋体"/>
          <w:b/>
          <w:bCs/>
        </w:rPr>
        <w:t xml:space="preserve">  工业场地联络公路</w:t>
      </w:r>
    </w:p>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pStyle w:val="2"/>
        <w:ind w:firstLine="0" w:firstLineChars="0"/>
        <w:rPr>
          <w:rFonts w:hint="eastAsia" w:ascii="宋体" w:hAnsi="宋体" w:eastAsia="宋体" w:cs="宋体"/>
        </w:rPr>
      </w:pPr>
      <w:bookmarkStart w:id="11" w:name="_Toc17349"/>
      <w:r>
        <w:rPr>
          <w:rFonts w:hint="eastAsia" w:ascii="宋体" w:hAnsi="宋体" w:eastAsia="宋体" w:cs="宋体"/>
        </w:rPr>
        <w:t>第四章  以往矿山地质环境治理及土复垦成效</w:t>
      </w:r>
      <w:bookmarkEnd w:id="11"/>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2" w:name="_Toc30999"/>
      <w:r>
        <w:rPr>
          <w:rFonts w:hint="eastAsia" w:ascii="宋体" w:hAnsi="宋体" w:eastAsia="宋体" w:cs="宋体"/>
          <w:b/>
          <w:bCs/>
        </w:rPr>
        <w:t>一、矿山地质环境治理及土地复垦现状</w:t>
      </w:r>
      <w:bookmarkEnd w:id="12"/>
    </w:p>
    <w:p>
      <w:pPr>
        <w:pStyle w:val="9"/>
        <w:ind w:firstLine="560"/>
        <w:rPr>
          <w:rFonts w:hint="eastAsia" w:ascii="宋体" w:hAnsi="宋体" w:eastAsia="宋体" w:cs="宋体"/>
        </w:rPr>
      </w:pPr>
      <w:r>
        <w:rPr>
          <w:rFonts w:hint="eastAsia" w:ascii="宋体" w:hAnsi="宋体" w:eastAsia="宋体" w:cs="宋体"/>
        </w:rPr>
        <w:t>以往矿山地质环境治理与土地复垦工程实施单元主要为西南排土场、北外排土场西部、内排土场已排弃至地表区域及其附近治理区域</w:t>
      </w:r>
      <w:r>
        <w:rPr>
          <w:rFonts w:hint="eastAsia" w:ascii="宋体" w:hAnsi="宋体" w:cs="宋体"/>
          <w:lang w:eastAsia="zh-CN"/>
        </w:rPr>
        <w:t>，面积</w:t>
      </w:r>
      <w:r>
        <w:rPr>
          <w:rFonts w:hint="eastAsia" w:ascii="宋体" w:hAnsi="宋体" w:cs="宋体"/>
          <w:highlight w:val="none"/>
          <w:lang w:val="en-US" w:eastAsia="zh-CN"/>
        </w:rPr>
        <w:t>4500689.17m</w:t>
      </w:r>
      <w:r>
        <w:rPr>
          <w:rFonts w:hint="eastAsia" w:ascii="宋体" w:hAnsi="宋体" w:cs="宋体"/>
          <w:highlight w:val="none"/>
          <w:vertAlign w:val="superscript"/>
          <w:lang w:val="en-US" w:eastAsia="zh-CN"/>
        </w:rPr>
        <w:t>2</w:t>
      </w:r>
      <w:r>
        <w:rPr>
          <w:rFonts w:hint="eastAsia" w:ascii="宋体" w:hAnsi="宋体" w:eastAsia="宋体" w:cs="宋体"/>
        </w:rPr>
        <w:t>。各单元治理情况见表4-1，已治理范围坐标见表4-2，范围分布详见附图。</w:t>
      </w:r>
    </w:p>
    <w:p>
      <w:pPr>
        <w:pStyle w:val="9"/>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表4-1  各单元治理情况汇总表</w:t>
      </w:r>
    </w:p>
    <w:tbl>
      <w:tblPr>
        <w:tblStyle w:val="16"/>
        <w:tblW w:w="4998" w:type="pct"/>
        <w:tblInd w:w="0" w:type="dxa"/>
        <w:tblLayout w:type="autofit"/>
        <w:tblCellMar>
          <w:top w:w="0" w:type="dxa"/>
          <w:left w:w="108" w:type="dxa"/>
          <w:bottom w:w="0" w:type="dxa"/>
          <w:right w:w="108" w:type="dxa"/>
        </w:tblCellMar>
      </w:tblPr>
      <w:tblGrid>
        <w:gridCol w:w="2136"/>
        <w:gridCol w:w="2856"/>
        <w:gridCol w:w="1763"/>
        <w:gridCol w:w="1764"/>
      </w:tblGrid>
      <w:tr>
        <w:tblPrEx>
          <w:tblCellMar>
            <w:top w:w="0" w:type="dxa"/>
            <w:left w:w="108" w:type="dxa"/>
            <w:bottom w:w="0" w:type="dxa"/>
            <w:right w:w="108" w:type="dxa"/>
          </w:tblCellMar>
        </w:tblPrEx>
        <w:trPr>
          <w:trHeight w:val="419" w:hRule="atLeast"/>
          <w:tblHeader/>
        </w:trPr>
        <w:tc>
          <w:tcPr>
            <w:tcW w:w="123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snapToGrid w:val="0"/>
                <w:color w:val="000000"/>
                <w:kern w:val="0"/>
                <w:sz w:val="24"/>
                <w:szCs w:val="24"/>
                <w:lang w:bidi="ar"/>
              </w:rPr>
              <w:t>单元名称</w:t>
            </w:r>
          </w:p>
        </w:tc>
        <w:tc>
          <w:tcPr>
            <w:tcW w:w="164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snapToGrid w:val="0"/>
                <w:color w:val="000000"/>
                <w:kern w:val="0"/>
                <w:sz w:val="24"/>
                <w:szCs w:val="24"/>
                <w:lang w:bidi="ar"/>
              </w:rPr>
              <w:t>治理措施</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snapToGrid w:val="0"/>
                <w:color w:val="000000"/>
                <w:kern w:val="0"/>
                <w:sz w:val="24"/>
                <w:szCs w:val="24"/>
                <w:lang w:bidi="ar"/>
              </w:rPr>
              <w:t>复垦地类</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备注</w:t>
            </w:r>
          </w:p>
        </w:tc>
      </w:tr>
      <w:tr>
        <w:tblPrEx>
          <w:tblCellMar>
            <w:top w:w="0" w:type="dxa"/>
            <w:left w:w="108" w:type="dxa"/>
            <w:bottom w:w="0" w:type="dxa"/>
            <w:right w:w="108" w:type="dxa"/>
          </w:tblCellMar>
        </w:tblPrEx>
        <w:trPr>
          <w:trHeight w:val="419" w:hRule="atLeast"/>
          <w:tblHeader/>
        </w:trPr>
        <w:tc>
          <w:tcPr>
            <w:tcW w:w="123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西南排土场</w:t>
            </w:r>
          </w:p>
        </w:tc>
        <w:tc>
          <w:tcPr>
            <w:tcW w:w="164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削坡、覆土、种草、管护</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草地</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已治理未验收</w:t>
            </w:r>
          </w:p>
        </w:tc>
      </w:tr>
      <w:tr>
        <w:tblPrEx>
          <w:tblCellMar>
            <w:top w:w="0" w:type="dxa"/>
            <w:left w:w="108" w:type="dxa"/>
            <w:bottom w:w="0" w:type="dxa"/>
            <w:right w:w="108" w:type="dxa"/>
          </w:tblCellMar>
        </w:tblPrEx>
        <w:trPr>
          <w:trHeight w:val="419" w:hRule="atLeast"/>
          <w:tblHeader/>
        </w:trPr>
        <w:tc>
          <w:tcPr>
            <w:tcW w:w="123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北外排土场西部</w:t>
            </w:r>
          </w:p>
        </w:tc>
        <w:tc>
          <w:tcPr>
            <w:tcW w:w="164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削坡、覆土、种草、管护</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草地</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已治理未验收</w:t>
            </w:r>
          </w:p>
        </w:tc>
      </w:tr>
      <w:tr>
        <w:tblPrEx>
          <w:tblCellMar>
            <w:top w:w="0" w:type="dxa"/>
            <w:left w:w="108" w:type="dxa"/>
            <w:bottom w:w="0" w:type="dxa"/>
            <w:right w:w="108" w:type="dxa"/>
          </w:tblCellMar>
        </w:tblPrEx>
        <w:trPr>
          <w:trHeight w:val="419" w:hRule="atLeast"/>
          <w:tblHeader/>
        </w:trPr>
        <w:tc>
          <w:tcPr>
            <w:tcW w:w="123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内排土场治理区域</w:t>
            </w:r>
          </w:p>
        </w:tc>
        <w:tc>
          <w:tcPr>
            <w:tcW w:w="164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覆土、种草、管护</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草地</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已治理未验收</w:t>
            </w:r>
          </w:p>
        </w:tc>
      </w:tr>
      <w:tr>
        <w:tblPrEx>
          <w:tblCellMar>
            <w:top w:w="0" w:type="dxa"/>
            <w:left w:w="108" w:type="dxa"/>
            <w:bottom w:w="0" w:type="dxa"/>
            <w:right w:w="108" w:type="dxa"/>
          </w:tblCellMar>
        </w:tblPrEx>
        <w:trPr>
          <w:trHeight w:val="419" w:hRule="atLeast"/>
          <w:tblHeader/>
        </w:trPr>
        <w:tc>
          <w:tcPr>
            <w:tcW w:w="123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内排附近治理区域</w:t>
            </w:r>
          </w:p>
        </w:tc>
        <w:tc>
          <w:tcPr>
            <w:tcW w:w="164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覆土、种草、管护</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草地</w:t>
            </w:r>
          </w:p>
        </w:tc>
        <w:tc>
          <w:tcPr>
            <w:tcW w:w="1059"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ind w:firstLine="0" w:firstLineChars="0"/>
              <w:jc w:val="center"/>
              <w:textAlignment w:val="center"/>
              <w:rPr>
                <w:rFonts w:hint="eastAsia"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已治理未验收</w:t>
            </w:r>
          </w:p>
        </w:tc>
      </w:tr>
    </w:tbl>
    <w:p>
      <w:pPr>
        <w:pStyle w:val="9"/>
        <w:spacing w:line="0" w:lineRule="atLeast"/>
        <w:ind w:firstLine="0" w:firstLineChars="0"/>
        <w:jc w:val="center"/>
        <w:rPr>
          <w:rFonts w:hint="eastAsia" w:ascii="宋体" w:hAnsi="宋体" w:eastAsia="宋体" w:cs="宋体"/>
          <w:b/>
          <w:bCs/>
        </w:rPr>
      </w:pPr>
    </w:p>
    <w:p>
      <w:pPr>
        <w:pStyle w:val="9"/>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表4-2  以往已治理范围坐标表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1"/>
        <w:gridCol w:w="1824"/>
        <w:gridCol w:w="1968"/>
        <w:gridCol w:w="457"/>
        <w:gridCol w:w="1824"/>
        <w:gridCol w:w="1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2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26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2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7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15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26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7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15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4877513.8855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38436557.5804</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4878764.0009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38439137.0467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4877508.9321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38436655.4359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4878815.7942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38438985.3977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4877501.2525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38436672.2936</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4878904.9386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38438909.1308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4877498.3976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38436698.9860</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4878926.5739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38438910.0390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4877500.1801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38436709.0575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4879041.8456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38438823.5199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4877507.3881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38436720.1186</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4878940.5984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38438706.4215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4877505.4830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38436926.6741</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49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4878965.0421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38438691.3780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4877511.5199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38436953.1393</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4878996.1970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38438670.5972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4877537.3281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38436983.6117</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4879056.2550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38438652.0811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4877645.6661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38437095.5543</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4879111.4346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38438616.3055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4877575.7841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38437186.4006</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4879143.5233</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38438607.7096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4877537.2476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38437137.8793</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4879195.2109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38438609.4500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4877495.6628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38437088.6138</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4879201.6560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38438539.1765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4877353.6062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38437076.2244</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4879212.8914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38438542.9381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4877325.6895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38437844.2205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4879225.2530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38438506.0156</w:t>
            </w:r>
          </w:p>
        </w:tc>
      </w:tr>
    </w:tbl>
    <w:p>
      <w:pPr>
        <w:pStyle w:val="9"/>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（续）表4-2  以往已治理范围坐标表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1"/>
        <w:gridCol w:w="1824"/>
        <w:gridCol w:w="1968"/>
        <w:gridCol w:w="457"/>
        <w:gridCol w:w="1824"/>
        <w:gridCol w:w="1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2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26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2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7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15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26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7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15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4877382.7832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38437844.6685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4879395.4200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38438532.2848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4877426.2646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38437854.8428</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59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4879620.7282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38438524.2712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4877458.6250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38437904.0009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4879648.9596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38438356.5871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4877468.7924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38437944.4333</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4879654.7572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38438176.7807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4877502.0815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38437997.1829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4879837.9426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38438183.8075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4877540.6929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38438027.3143</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4879854.1596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38437645.1555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4877546.4074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38438032.1095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4879568.5916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38437628.7223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4877531.4374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38438056.7595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4879378.2151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38437618.4533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4877453.9874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38438669.6795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4879190.9367</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38437618.1009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4877450.7518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38438705.1129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4879135.6388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38437584.8912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4877431.9391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38438942.7840</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4879141.3378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38437510.0558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4877418.7866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38439087.2161</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69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4879142.6272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38437484.4099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4877399.7026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38439499.8049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4879115.7238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38437447.3168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4877660.5272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38439510.2839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4879060.1235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38437410.2238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4877683.7148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38439581.5365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4879035.1685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38437376.5872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4877744.1691</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38439585.0595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4878896.3988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38436960.5820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4877794.6840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38439638.7326</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4878848.8812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38436817.9285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4877891.0958</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38439672.6144</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4878807.4534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38436832.3695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34</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4878128.9892</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38439673.3645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4878576.6714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38436821.5627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35</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4878322.1895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38439668.7476</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4878541.9950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38436822.6471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36</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4878369.0399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38439660.0047</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4878520.0010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38436785.6955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37</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4878369.2029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38439638.3495</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79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4878304.0004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38436585.5113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4878585.1694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38439632.0109</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80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4878289.8084</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38436578.5212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39</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4878615.4440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38439590.9684</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81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4878259.1160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38436571.3496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40</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4878614.9719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38439274.1062</w:t>
            </w:r>
          </w:p>
        </w:tc>
        <w:tc>
          <w:tcPr>
            <w:tcW w:w="268" w:type="pct"/>
            <w:vAlign w:val="center"/>
          </w:tcPr>
          <w:p>
            <w:pPr>
              <w:spacing w:line="0" w:lineRule="atLeast"/>
              <w:ind w:firstLine="0" w:firstLineChars="0"/>
              <w:jc w:val="center"/>
              <w:rPr>
                <w:rFonts w:hint="default" w:ascii="宋体" w:hAnsi="宋体" w:eastAsia="宋体" w:cs="宋体"/>
                <w:kern w:val="2"/>
                <w:sz w:val="24"/>
                <w:szCs w:val="24"/>
                <w:lang w:val="en-US" w:eastAsia="zh-CN" w:bidi="ar-SA"/>
              </w:rPr>
            </w:pPr>
            <w:r>
              <w:rPr>
                <w:rFonts w:hint="default" w:ascii="宋体" w:hAnsi="宋体" w:cs="宋体"/>
                <w:kern w:val="2"/>
                <w:sz w:val="24"/>
                <w:szCs w:val="24"/>
                <w:lang w:val="en-US" w:eastAsia="zh-CN" w:bidi="ar-SA"/>
              </w:rPr>
              <w:t>82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4878000.0000</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38436556.5520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41</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4878698.7235</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38439274.1121</w:t>
            </w:r>
          </w:p>
        </w:tc>
        <w:tc>
          <w:tcPr>
            <w:tcW w:w="26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83</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4877533.2479</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38436540.4166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8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42</w:t>
            </w:r>
          </w:p>
        </w:tc>
        <w:tc>
          <w:tcPr>
            <w:tcW w:w="1070"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4878713.8596</w:t>
            </w:r>
          </w:p>
        </w:tc>
        <w:tc>
          <w:tcPr>
            <w:tcW w:w="115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38439213.6745</w:t>
            </w:r>
          </w:p>
        </w:tc>
        <w:tc>
          <w:tcPr>
            <w:tcW w:w="2492" w:type="pct"/>
            <w:gridSpan w:val="3"/>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cs="宋体"/>
                <w:lang w:eastAsia="zh-CN"/>
              </w:rPr>
              <w:t>面积</w:t>
            </w:r>
            <w:r>
              <w:rPr>
                <w:rFonts w:hint="eastAsia" w:ascii="宋体" w:hAnsi="宋体" w:cs="宋体"/>
                <w:highlight w:val="none"/>
                <w:lang w:val="en-US" w:eastAsia="zh-CN"/>
              </w:rPr>
              <w:t>4500689.17m</w:t>
            </w:r>
            <w:r>
              <w:rPr>
                <w:rFonts w:hint="eastAsia" w:ascii="宋体" w:hAnsi="宋体" w:cs="宋体"/>
                <w:highlight w:val="none"/>
                <w:vertAlign w:val="superscript"/>
                <w:lang w:val="en-US" w:eastAsia="zh-CN"/>
              </w:rPr>
              <w:t>2</w:t>
            </w:r>
          </w:p>
        </w:tc>
      </w:tr>
    </w:tbl>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3" w:name="_Toc4895"/>
      <w:r>
        <w:rPr>
          <w:rFonts w:hint="eastAsia" w:ascii="宋体" w:hAnsi="宋体" w:eastAsia="宋体" w:cs="宋体"/>
          <w:b/>
          <w:bCs/>
        </w:rPr>
        <w:t>二、矿山地质环境及土地复垦动态监测开展情况</w:t>
      </w:r>
      <w:bookmarkEnd w:id="13"/>
    </w:p>
    <w:p>
      <w:pPr>
        <w:ind w:firstLine="560"/>
        <w:rPr>
          <w:rFonts w:hint="eastAsia" w:ascii="宋体" w:hAnsi="宋体" w:eastAsia="宋体" w:cs="宋体"/>
        </w:rPr>
      </w:pPr>
      <w:r>
        <w:rPr>
          <w:rFonts w:hint="eastAsia" w:ascii="宋体" w:hAnsi="宋体" w:eastAsia="宋体" w:cs="宋体"/>
        </w:rPr>
        <w:t>1、边坡与滑坡（崩塌）地质灾害监测：建立了边坡监测系统，采用GPS定位仪定期观测；采掘场各帮及排土场均设监测线、监测点，确保边坡安全。</w:t>
      </w:r>
    </w:p>
    <w:p>
      <w:pPr>
        <w:pStyle w:val="9"/>
        <w:ind w:firstLine="560"/>
        <w:rPr>
          <w:rFonts w:hint="eastAsia" w:ascii="宋体" w:hAnsi="宋体" w:eastAsia="宋体" w:cs="宋体"/>
        </w:rPr>
      </w:pPr>
      <w:r>
        <w:rPr>
          <w:rFonts w:hint="eastAsia" w:ascii="宋体" w:hAnsi="宋体" w:eastAsia="宋体" w:cs="宋体"/>
        </w:rPr>
        <w:t>2、含水层影响监测：在工业场地及采掘场周围布设地下水水质监测井</w:t>
      </w:r>
      <w:r>
        <w:rPr>
          <w:rFonts w:hint="eastAsia" w:ascii="宋体" w:hAnsi="宋体" w:eastAsia="宋体" w:cs="宋体"/>
          <w:lang w:val="en-US" w:eastAsia="zh-CN"/>
        </w:rPr>
        <w:t>5</w:t>
      </w:r>
      <w:r>
        <w:rPr>
          <w:rFonts w:hint="eastAsia" w:ascii="宋体" w:hAnsi="宋体" w:eastAsia="宋体" w:cs="宋体"/>
        </w:rPr>
        <w:t>个，水质监测每季度一次。</w:t>
      </w:r>
    </w:p>
    <w:p>
      <w:pPr>
        <w:pStyle w:val="9"/>
        <w:ind w:firstLine="560"/>
        <w:rPr>
          <w:rFonts w:hint="eastAsia" w:ascii="宋体" w:hAnsi="宋体" w:eastAsia="宋体" w:cs="宋体"/>
        </w:rPr>
      </w:pPr>
      <w:r>
        <w:rPr>
          <w:rFonts w:hint="eastAsia" w:ascii="宋体" w:hAnsi="宋体" w:eastAsia="宋体" w:cs="宋体"/>
        </w:rPr>
        <w:t>3、地形地貌景观监测：通过购买遥感影像图，对前后遥感影像进行解译，直接比较芒来煤矿地形地貌的动态变化，监测频率1次/年。</w:t>
      </w:r>
    </w:p>
    <w:p>
      <w:pPr>
        <w:pStyle w:val="9"/>
        <w:ind w:firstLine="560"/>
        <w:rPr>
          <w:rFonts w:hint="eastAsia" w:ascii="宋体" w:hAnsi="宋体" w:eastAsia="宋体" w:cs="宋体"/>
        </w:rPr>
      </w:pPr>
      <w:r>
        <w:rPr>
          <w:rFonts w:hint="eastAsia" w:ascii="宋体" w:hAnsi="宋体" w:eastAsia="宋体" w:cs="宋体"/>
        </w:rPr>
        <w:t>4、水土环境污染监测：定期对矿坑废水、生产、生活污水进行现场测试和全分析测试，对相关单元的土壤定期进行采样测试，频率1次/年。</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4" w:name="_Toc3838"/>
      <w:r>
        <w:rPr>
          <w:rFonts w:hint="eastAsia" w:ascii="宋体" w:hAnsi="宋体" w:eastAsia="宋体" w:cs="宋体"/>
          <w:b/>
          <w:bCs/>
        </w:rPr>
        <w:t>三、以往矿山地质环境治理与土地复垦成效评述</w:t>
      </w:r>
      <w:bookmarkEnd w:id="14"/>
    </w:p>
    <w:p>
      <w:pPr>
        <w:ind w:firstLine="560"/>
        <w:rPr>
          <w:rFonts w:hint="eastAsia" w:ascii="宋体" w:hAnsi="宋体" w:eastAsia="宋体" w:cs="宋体"/>
        </w:rPr>
      </w:pPr>
      <w:r>
        <w:rPr>
          <w:rFonts w:hint="eastAsia" w:ascii="宋体" w:hAnsi="宋体" w:eastAsia="宋体" w:cs="宋体"/>
        </w:rPr>
        <w:t>（一）近期工程计划完成情况分析及质量评述</w:t>
      </w:r>
    </w:p>
    <w:p>
      <w:pPr>
        <w:ind w:firstLine="560"/>
        <w:rPr>
          <w:rFonts w:hint="eastAsia" w:ascii="宋体" w:hAnsi="宋体" w:eastAsia="宋体" w:cs="宋体"/>
          <w:color w:val="000000"/>
          <w:kern w:val="0"/>
          <w:szCs w:val="21"/>
        </w:rPr>
      </w:pPr>
      <w:r>
        <w:rPr>
          <w:rFonts w:hint="eastAsia" w:ascii="宋体" w:hAnsi="宋体" w:eastAsia="宋体" w:cs="宋体"/>
          <w:color w:val="000000"/>
          <w:kern w:val="0"/>
          <w:szCs w:val="21"/>
        </w:rPr>
        <w:t>矿山地质环境治理与土地复垦近期工作主要为开展已损毁的内排土场的土地复垦工作；加强复垦区地形地貌地表状况监测、土地损毁监测、土地质量监测及复垦植被日常监测和管护。对拟损毁区域的表土进行剥离；对内排土场到界顶部平台修建挡水围埂、覆土、平整、撒播草籽；对北外排土场到界平台修建挡水围埂、设置沙柳沙障、撒播草籽恢复植被，边坡铺设柳笆护坡、撒播草籽。</w:t>
      </w:r>
    </w:p>
    <w:p>
      <w:pPr>
        <w:pStyle w:val="15"/>
        <w:rPr>
          <w:rFonts w:hint="eastAsia" w:ascii="宋体" w:hAnsi="宋体" w:eastAsia="宋体" w:cs="宋体"/>
        </w:rPr>
      </w:pPr>
      <w:r>
        <w:rPr>
          <w:rFonts w:hint="eastAsia" w:ascii="宋体" w:hAnsi="宋体" w:eastAsia="宋体" w:cs="宋体"/>
          <w:color w:val="000000"/>
          <w:kern w:val="0"/>
          <w:szCs w:val="21"/>
        </w:rPr>
        <w:t>矿山已按《方案》要求及治理标准进行治理，完成情况良好。</w:t>
      </w:r>
    </w:p>
    <w:p>
      <w:pPr>
        <w:ind w:firstLine="560"/>
        <w:rPr>
          <w:rFonts w:hint="eastAsia" w:ascii="宋体" w:hAnsi="宋体" w:eastAsia="宋体" w:cs="宋体"/>
        </w:rPr>
      </w:pPr>
      <w:r>
        <w:rPr>
          <w:rFonts w:hint="eastAsia" w:ascii="宋体" w:hAnsi="宋体" w:eastAsia="宋体" w:cs="宋体"/>
        </w:rPr>
        <w:t>（二）以往基金计提及使用情况</w:t>
      </w:r>
    </w:p>
    <w:p>
      <w:pPr>
        <w:ind w:firstLine="560"/>
        <w:rPr>
          <w:rFonts w:hint="eastAsia" w:ascii="宋体" w:hAnsi="宋体" w:eastAsia="宋体" w:cs="宋体"/>
        </w:rPr>
      </w:pPr>
      <w:r>
        <w:rPr>
          <w:rFonts w:hint="eastAsia" w:ascii="宋体" w:hAnsi="宋体" w:eastAsia="宋体" w:cs="宋体"/>
        </w:rPr>
        <w:t>以往基金计提及使用情况详见表4-3。</w:t>
      </w:r>
    </w:p>
    <w:p>
      <w:pPr>
        <w:rPr>
          <w:rFonts w:hint="eastAsia" w:ascii="宋体" w:hAnsi="宋体" w:eastAsia="宋体" w:cs="宋体"/>
          <w:b/>
          <w:bCs/>
        </w:rPr>
      </w:pPr>
      <w:r>
        <w:rPr>
          <w:rFonts w:hint="eastAsia" w:ascii="宋体" w:hAnsi="宋体" w:eastAsia="宋体" w:cs="宋体"/>
          <w:b/>
          <w:bCs/>
        </w:rPr>
        <w:br w:type="page"/>
      </w:r>
    </w:p>
    <w:p>
      <w:pPr>
        <w:pStyle w:val="9"/>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表4-3  以往基金计提及使用明细表</w:t>
      </w:r>
    </w:p>
    <w:tbl>
      <w:tblPr>
        <w:tblStyle w:val="16"/>
        <w:tblW w:w="4999" w:type="pct"/>
        <w:tblInd w:w="0" w:type="dxa"/>
        <w:tblLayout w:type="autofit"/>
        <w:tblCellMar>
          <w:top w:w="0" w:type="dxa"/>
          <w:left w:w="108" w:type="dxa"/>
          <w:bottom w:w="0" w:type="dxa"/>
          <w:right w:w="108" w:type="dxa"/>
        </w:tblCellMar>
      </w:tblPr>
      <w:tblGrid>
        <w:gridCol w:w="2838"/>
        <w:gridCol w:w="2841"/>
        <w:gridCol w:w="2841"/>
      </w:tblGrid>
      <w:tr>
        <w:tblPrEx>
          <w:tblCellMar>
            <w:top w:w="0" w:type="dxa"/>
            <w:left w:w="108" w:type="dxa"/>
            <w:bottom w:w="0" w:type="dxa"/>
            <w:right w:w="108" w:type="dxa"/>
          </w:tblCellMar>
        </w:tblPrEx>
        <w:trPr>
          <w:trHeight w:val="622" w:hRule="atLeast"/>
        </w:trPr>
        <w:tc>
          <w:tcPr>
            <w:tcW w:w="16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年度</w:t>
            </w:r>
          </w:p>
        </w:tc>
        <w:tc>
          <w:tcPr>
            <w:tcW w:w="16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提取基金金额</w:t>
            </w:r>
          </w:p>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（万元）</w:t>
            </w:r>
          </w:p>
        </w:tc>
        <w:tc>
          <w:tcPr>
            <w:tcW w:w="16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使用基金金额</w:t>
            </w:r>
          </w:p>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（万元）</w:t>
            </w:r>
          </w:p>
        </w:tc>
      </w:tr>
      <w:tr>
        <w:tblPrEx>
          <w:tblCellMar>
            <w:top w:w="0" w:type="dxa"/>
            <w:left w:w="108" w:type="dxa"/>
            <w:bottom w:w="0" w:type="dxa"/>
            <w:right w:w="108" w:type="dxa"/>
          </w:tblCellMar>
        </w:tblPrEx>
        <w:trPr>
          <w:trHeight w:val="312" w:hRule="atLeast"/>
        </w:trPr>
        <w:tc>
          <w:tcPr>
            <w:tcW w:w="16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auto"/>
                <w:sz w:val="24"/>
                <w:szCs w:val="24"/>
              </w:rPr>
            </w:pPr>
          </w:p>
        </w:tc>
        <w:tc>
          <w:tcPr>
            <w:tcW w:w="16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auto"/>
                <w:sz w:val="24"/>
                <w:szCs w:val="24"/>
              </w:rPr>
            </w:pPr>
          </w:p>
        </w:tc>
        <w:tc>
          <w:tcPr>
            <w:tcW w:w="16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trHeight w:val="622" w:hRule="atLeast"/>
        </w:trPr>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2020年</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4048.00</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 xml:space="preserve">3210.31 </w:t>
            </w:r>
          </w:p>
        </w:tc>
      </w:tr>
      <w:tr>
        <w:tblPrEx>
          <w:tblCellMar>
            <w:top w:w="0" w:type="dxa"/>
            <w:left w:w="108" w:type="dxa"/>
            <w:bottom w:w="0" w:type="dxa"/>
            <w:right w:w="108" w:type="dxa"/>
          </w:tblCellMar>
        </w:tblPrEx>
        <w:trPr>
          <w:trHeight w:val="622" w:hRule="atLeast"/>
        </w:trPr>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2021年</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4882.46</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 xml:space="preserve">5720.15 </w:t>
            </w:r>
          </w:p>
        </w:tc>
      </w:tr>
      <w:tr>
        <w:tblPrEx>
          <w:tblCellMar>
            <w:top w:w="0" w:type="dxa"/>
            <w:left w:w="108" w:type="dxa"/>
            <w:bottom w:w="0" w:type="dxa"/>
            <w:right w:w="108" w:type="dxa"/>
          </w:tblCellMar>
        </w:tblPrEx>
        <w:trPr>
          <w:trHeight w:val="622" w:hRule="atLeast"/>
        </w:trPr>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2022年</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6243.34</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 xml:space="preserve">6243.34 </w:t>
            </w:r>
          </w:p>
        </w:tc>
      </w:tr>
      <w:tr>
        <w:tblPrEx>
          <w:tblCellMar>
            <w:top w:w="0" w:type="dxa"/>
            <w:left w:w="108" w:type="dxa"/>
            <w:bottom w:w="0" w:type="dxa"/>
            <w:right w:w="108" w:type="dxa"/>
          </w:tblCellMar>
        </w:tblPrEx>
        <w:trPr>
          <w:trHeight w:val="622" w:hRule="atLeast"/>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2023年</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8937.96</w:t>
            </w:r>
          </w:p>
        </w:tc>
        <w:tc>
          <w:tcPr>
            <w:tcW w:w="1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6313.59</w:t>
            </w:r>
          </w:p>
        </w:tc>
      </w:tr>
    </w:tbl>
    <w:p>
      <w:pPr>
        <w:pStyle w:val="9"/>
        <w:ind w:firstLine="560"/>
        <w:rPr>
          <w:rFonts w:hint="eastAsia" w:ascii="宋体" w:hAnsi="宋体" w:eastAsia="宋体" w:cs="宋体"/>
        </w:rPr>
      </w:pPr>
      <w:r>
        <w:rPr>
          <w:rFonts w:hint="eastAsia" w:ascii="宋体" w:hAnsi="宋体" w:eastAsia="宋体" w:cs="宋体"/>
        </w:rPr>
        <w:t>（三）上一年度矿山地质环境治理与土地复垦计划完成情况</w:t>
      </w:r>
    </w:p>
    <w:p>
      <w:pPr>
        <w:pStyle w:val="9"/>
        <w:ind w:firstLine="560"/>
        <w:rPr>
          <w:rFonts w:hint="eastAsia" w:ascii="宋体" w:hAnsi="宋体" w:eastAsia="宋体" w:cs="宋体"/>
        </w:rPr>
      </w:pPr>
      <w:r>
        <w:rPr>
          <w:rFonts w:hint="eastAsia" w:ascii="宋体" w:hAnsi="宋体" w:eastAsia="宋体" w:cs="宋体"/>
        </w:rPr>
        <w:t>1、上年度已完成矿山地质环境治理与土地复垦区域、面积及工程量</w:t>
      </w:r>
    </w:p>
    <w:p>
      <w:pPr>
        <w:pStyle w:val="9"/>
        <w:ind w:firstLine="560"/>
        <w:rPr>
          <w:rFonts w:hint="eastAsia" w:ascii="宋体" w:hAnsi="宋体" w:eastAsia="宋体" w:cs="宋体"/>
        </w:rPr>
      </w:pPr>
      <w:r>
        <w:rPr>
          <w:rFonts w:hint="eastAsia" w:ascii="宋体" w:hAnsi="宋体" w:eastAsia="宋体" w:cs="宋体"/>
        </w:rPr>
        <w:t>（1）北外排土场（二期）治理区域，计划治理面积381327m</w:t>
      </w:r>
      <w:r>
        <w:rPr>
          <w:rFonts w:hint="eastAsia" w:ascii="宋体" w:hAnsi="宋体" w:eastAsia="宋体" w:cs="宋体"/>
          <w:vertAlign w:val="superscript"/>
        </w:rPr>
        <w:t>2</w:t>
      </w:r>
      <w:r>
        <w:rPr>
          <w:rFonts w:hint="eastAsia" w:ascii="宋体" w:hAnsi="宋体" w:eastAsia="宋体" w:cs="宋体"/>
        </w:rPr>
        <w:t>，实际治理面积381327m</w:t>
      </w:r>
      <w:r>
        <w:rPr>
          <w:rFonts w:hint="eastAsia" w:ascii="宋体" w:hAnsi="宋体" w:eastAsia="宋体" w:cs="宋体"/>
          <w:vertAlign w:val="superscript"/>
        </w:rPr>
        <w:t>2</w:t>
      </w:r>
      <w:r>
        <w:rPr>
          <w:rFonts w:hint="eastAsia" w:ascii="宋体" w:hAnsi="宋体" w:eastAsia="宋体" w:cs="宋体"/>
        </w:rPr>
        <w:t>，已按计划如期完成削坡工程、排水工程、道路工程、土地复垦绿化工程、灌排工程等全部工程，坐标详见表4-4。</w:t>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表4-4  北外排土场（二期）治理区域拐点坐标表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9"/>
        <w:gridCol w:w="1702"/>
        <w:gridCol w:w="1761"/>
        <w:gridCol w:w="832"/>
        <w:gridCol w:w="1703"/>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1"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4879201.66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38438539.18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4879313.09</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38437770.61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4879214.3</w:t>
            </w:r>
            <w:r>
              <w:rPr>
                <w:rFonts w:hint="eastAsia" w:ascii="宋体" w:hAnsi="宋体" w:eastAsia="宋体" w:cs="宋体"/>
                <w:szCs w:val="24"/>
              </w:rPr>
              <w:t>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38438538.73</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4879300.01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38437695.31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4879225.25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38438506.02</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4879270</w:t>
            </w:r>
            <w:r>
              <w:rPr>
                <w:rFonts w:hint="eastAsia" w:ascii="宋体" w:hAnsi="宋体" w:eastAsia="宋体" w:cs="宋体"/>
                <w:szCs w:val="24"/>
              </w:rPr>
              <w:t>.</w:t>
            </w:r>
            <w:r>
              <w:rPr>
                <w:rFonts w:hint="eastAsia" w:ascii="宋体" w:hAnsi="宋体" w:eastAsia="宋体" w:cs="宋体"/>
                <w:sz w:val="24"/>
                <w:szCs w:val="24"/>
              </w:rPr>
              <w:t>00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38437672.45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4879395.42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38438532.28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4879241.57</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38437638.6</w:t>
            </w:r>
            <w:r>
              <w:rPr>
                <w:rFonts w:hint="eastAsia" w:ascii="宋体" w:hAnsi="宋体" w:eastAsia="宋体" w:cs="宋体"/>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4879451.92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38438530.28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4879198.21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38437628.75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4879620.73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38438524.27</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4879194.58</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38437623.42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4879648.96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38438356.59</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4879190.94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38437618.1</w:t>
            </w:r>
            <w:r>
              <w:rPr>
                <w:rFonts w:hint="eastAsia" w:ascii="宋体" w:hAnsi="宋体" w:eastAsia="宋体" w:cs="宋体"/>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4879655.42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38438145.2</w:t>
            </w:r>
            <w:r>
              <w:rPr>
                <w:rFonts w:hint="eastAsia" w:ascii="宋体" w:hAnsi="宋体" w:eastAsia="宋体" w:cs="宋体"/>
                <w:szCs w:val="24"/>
              </w:rPr>
              <w:t>0</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4878984.91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38438135.57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4879653.67</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38438093.76</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4878945.13</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38438569.33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4879652.83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38438072.75</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4878965.04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38438691.38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4879220.17</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38438337.34</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4878996.2</w:t>
            </w:r>
            <w:r>
              <w:rPr>
                <w:rFonts w:hint="eastAsia" w:ascii="宋体" w:hAnsi="宋体" w:eastAsia="宋体" w:cs="宋体"/>
                <w:szCs w:val="24"/>
              </w:rPr>
              <w:t>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38438670.6</w:t>
            </w:r>
            <w:r>
              <w:rPr>
                <w:rFonts w:hint="eastAsia" w:ascii="宋体" w:hAnsi="宋体" w:eastAsia="宋体" w:cs="宋体"/>
                <w:szCs w:val="24"/>
              </w:rPr>
              <w:t>0</w:t>
            </w:r>
          </w:p>
        </w:tc>
      </w:tr>
    </w:tbl>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w:t>
      </w:r>
      <w:r>
        <w:rPr>
          <w:rFonts w:hint="eastAsia" w:ascii="宋体" w:hAnsi="宋体" w:cs="宋体"/>
          <w:b/>
          <w:bCs/>
          <w:lang w:val="en-US" w:eastAsia="zh-CN"/>
        </w:rPr>
        <w:t>4</w:t>
      </w:r>
      <w:r>
        <w:rPr>
          <w:rFonts w:hint="eastAsia" w:ascii="宋体" w:hAnsi="宋体" w:eastAsia="宋体" w:cs="宋体"/>
          <w:b/>
          <w:bCs/>
        </w:rPr>
        <w:t xml:space="preserve">  北外排土场（二期）治理区域拐点坐标表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6"/>
        <w:gridCol w:w="3"/>
        <w:gridCol w:w="1698"/>
        <w:gridCol w:w="5"/>
        <w:gridCol w:w="1756"/>
        <w:gridCol w:w="5"/>
        <w:gridCol w:w="827"/>
        <w:gridCol w:w="5"/>
        <w:gridCol w:w="1698"/>
        <w:gridCol w:w="5"/>
        <w:gridCol w:w="1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2" w:type="pct"/>
            <w:gridSpan w:val="4"/>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8"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1" w:type="pct"/>
            <w:gridSpan w:val="3"/>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8"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4879233.22</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38438195.06</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28</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4879012.16</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38438664.82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4879342</w:t>
            </w:r>
            <w:r>
              <w:rPr>
                <w:rFonts w:hint="eastAsia" w:ascii="宋体" w:hAnsi="宋体" w:eastAsia="宋体" w:cs="宋体"/>
                <w:szCs w:val="24"/>
              </w:rPr>
              <w:t>.00</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38437921.83</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29</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4879055.25</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38438651.98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4879397.44</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38437909.04</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30</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4879111.43</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38438616.31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4879392.93</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38437893.85</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31</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4879144.37</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38438608.72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4879342.91</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38437782.48</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32</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4879195.21</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38438609.45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1"/>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北外排土场（二期）治理区域面积约381327m</w:t>
            </w:r>
            <w:r>
              <w:rPr>
                <w:rFonts w:hint="eastAsia" w:ascii="宋体" w:hAnsi="宋体" w:eastAsia="宋体" w:cs="宋体"/>
                <w:sz w:val="24"/>
                <w:szCs w:val="24"/>
                <w:vertAlign w:val="superscript"/>
              </w:rPr>
              <w:t>2</w:t>
            </w:r>
          </w:p>
        </w:tc>
      </w:tr>
    </w:tbl>
    <w:p>
      <w:pPr>
        <w:pStyle w:val="9"/>
        <w:spacing w:before="156" w:beforeLines="50"/>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135255</wp:posOffset>
                </wp:positionV>
                <wp:extent cx="876935" cy="324485"/>
                <wp:effectExtent l="4445" t="4445" r="13970" b="13970"/>
                <wp:wrapNone/>
                <wp:docPr id="7" name="文本框 2"/>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治理前</w:t>
                            </w:r>
                          </w:p>
                        </w:txbxContent>
                      </wps:txbx>
                      <wps:bodyPr upright="1"/>
                    </wps:wsp>
                  </a:graphicData>
                </a:graphic>
              </wp:anchor>
            </w:drawing>
          </mc:Choice>
          <mc:Fallback>
            <w:pict>
              <v:shape id="文本框 2" o:spid="_x0000_s1026" o:spt="202" type="#_x0000_t202" style="position:absolute;left:0pt;margin-left:0.3pt;margin-top:10.65pt;height:25.55pt;width:69.05pt;z-index:251659264;mso-width-relative:page;mso-height-relative:page;" fillcolor="#FFFFFF" filled="t" stroked="t" coordsize="21600,21600" o:gfxdata="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NP0t1QAAAAYBAAAPAAAAAAAAAAEAIAAAACIA&#10;AABkcnMvZG93bnJldi54bWxQSwECFAAUAAAACACHTuJAGAe+/gwCAAA1BAAADgAAAAAAAAABACAA&#10;AAAkAQAAZHJzL2Uyb0RvYy54bWxQSwUGAAAAAAYABgBZAQAAogUAAAAA&#10;">
                <v:fill on="t" focussize="0,0"/>
                <v:stroke color="#000000" joinstyle="miter"/>
                <v:imagedata o:title=""/>
                <o:lock v:ext="edit" aspectratio="f"/>
                <v:textbox>
                  <w:txbxContent>
                    <w:p>
                      <w:pPr>
                        <w:spacing w:line="0" w:lineRule="atLeast"/>
                        <w:ind w:firstLine="0" w:firstLineChars="0"/>
                        <w:jc w:val="center"/>
                      </w:pPr>
                      <w:r>
                        <w:rPr>
                          <w:rFonts w:hint="eastAsia"/>
                        </w:rPr>
                        <w:t>治理前</w:t>
                      </w:r>
                    </w:p>
                  </w:txbxContent>
                </v:textbox>
              </v:shape>
            </w:pict>
          </mc:Fallback>
        </mc:AlternateContent>
      </w:r>
      <w:r>
        <w:rPr>
          <w:rFonts w:hint="eastAsia" w:ascii="宋体" w:hAnsi="宋体" w:eastAsia="宋体" w:cs="宋体"/>
        </w:rPr>
        <w:drawing>
          <wp:inline distT="0" distB="0" distL="0" distR="0">
            <wp:extent cx="5274310" cy="27381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t="7686"/>
                    <a:stretch>
                      <a:fillRect/>
                    </a:stretch>
                  </pic:blipFill>
                  <pic:spPr>
                    <a:xfrm>
                      <a:off x="0" y="0"/>
                      <a:ext cx="5274310" cy="2738120"/>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102870</wp:posOffset>
                </wp:positionV>
                <wp:extent cx="876935" cy="324485"/>
                <wp:effectExtent l="4445" t="4445" r="13970" b="13970"/>
                <wp:wrapNone/>
                <wp:docPr id="14" name="文本框 3"/>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3" o:spid="_x0000_s1026" o:spt="202" type="#_x0000_t202" style="position:absolute;left:0pt;margin-left:1.8pt;margin-top:8.1pt;height:25.55pt;width:69.05pt;z-index:251660288;mso-width-relative:page;mso-height-relative:page;" fillcolor="#FFFFFF" filled="t" stroked="t" coordsize="21600,21600" o:gfxdata="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wWMQdUAAAAHAQAADwAAAAAAAAABACAAAAAiAAAA&#10;ZHJzL2Rvd25yZXYueG1sUEsBAhQAFAAAAAgAh07iQHubKxQKAgAANgQAAA4AAAAAAAAAAQAgAAAA&#10;JAEAAGRycy9lMm9Eb2MueG1sUEsFBgAAAAAGAAYAWQEAAKA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114300" distR="114300">
            <wp:extent cx="5264785" cy="2767330"/>
            <wp:effectExtent l="0" t="0" r="12065" b="13970"/>
            <wp:docPr id="3" name="图片 3" descr="97c58ddf22d4b68e5439994ea2b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7c58ddf22d4b68e5439994ea2b7203"/>
                    <pic:cNvPicPr>
                      <a:picLocks noChangeAspect="1"/>
                    </pic:cNvPicPr>
                  </pic:nvPicPr>
                  <pic:blipFill>
                    <a:blip r:embed="rId35"/>
                    <a:srcRect t="17730" b="25221"/>
                    <a:stretch>
                      <a:fillRect/>
                    </a:stretch>
                  </pic:blipFill>
                  <pic:spPr>
                    <a:xfrm>
                      <a:off x="0" y="0"/>
                      <a:ext cx="5264785" cy="2767330"/>
                    </a:xfrm>
                    <a:prstGeom prst="rect">
                      <a:avLst/>
                    </a:prstGeom>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99695</wp:posOffset>
                </wp:positionV>
                <wp:extent cx="876935" cy="324485"/>
                <wp:effectExtent l="4445" t="4445" r="13970" b="13970"/>
                <wp:wrapNone/>
                <wp:docPr id="15" name="文本框 4"/>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治理前</w:t>
                            </w:r>
                          </w:p>
                        </w:txbxContent>
                      </wps:txbx>
                      <wps:bodyPr upright="1"/>
                    </wps:wsp>
                  </a:graphicData>
                </a:graphic>
              </wp:anchor>
            </w:drawing>
          </mc:Choice>
          <mc:Fallback>
            <w:pict>
              <v:shape id="文本框 4" o:spid="_x0000_s1026" o:spt="202" type="#_x0000_t202" style="position:absolute;left:0pt;margin-left:1.05pt;margin-top:7.85pt;height:25.55pt;width:69.05pt;z-index:251661312;mso-width-relative:page;mso-height-relative:page;" fillcolor="#FFFFFF" filled="t" stroked="t" coordsize="21600,21600" o:gfxdata="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aawLVAAAABwEAAA8AAAAAAAAAAQAgAAAAIgAA&#10;AGRycy9kb3ducmV2LnhtbFBLAQIUABQAAAAIAIdO4kCiJbLXCwIAADYEAAAOAAAAAAAAAAEAIAAA&#10;ACQBAABkcnMvZTJvRG9jLnhtbFBLBQYAAAAABgAGAFkBAAChBQAAAAA=&#10;">
                <v:fill on="t" focussize="0,0"/>
                <v:stroke color="#000000" joinstyle="miter"/>
                <v:imagedata o:title=""/>
                <o:lock v:ext="edit" aspectratio="f"/>
                <v:textbox>
                  <w:txbxContent>
                    <w:p>
                      <w:pPr>
                        <w:spacing w:line="0" w:lineRule="atLeast"/>
                        <w:ind w:firstLine="0" w:firstLineChars="0"/>
                        <w:jc w:val="center"/>
                      </w:pPr>
                      <w:r>
                        <w:rPr>
                          <w:rFonts w:hint="eastAsia"/>
                        </w:rPr>
                        <w:t>治理前</w:t>
                      </w:r>
                    </w:p>
                  </w:txbxContent>
                </v:textbox>
              </v:shape>
            </w:pict>
          </mc:Fallback>
        </mc:AlternateContent>
      </w:r>
      <w:r>
        <w:rPr>
          <w:rFonts w:hint="eastAsia" w:ascii="宋体" w:hAnsi="宋体" w:eastAsia="宋体" w:cs="宋体"/>
        </w:rPr>
        <w:drawing>
          <wp:inline distT="0" distB="0" distL="0" distR="0">
            <wp:extent cx="5274310" cy="2784475"/>
            <wp:effectExtent l="0" t="0" r="254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2784475"/>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60325</wp:posOffset>
                </wp:positionV>
                <wp:extent cx="876935" cy="324485"/>
                <wp:effectExtent l="4445" t="4445" r="13970" b="13970"/>
                <wp:wrapNone/>
                <wp:docPr id="16" name="文本框 5"/>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5" o:spid="_x0000_s1026" o:spt="202" type="#_x0000_t202" style="position:absolute;left:0pt;margin-left:0.45pt;margin-top:4.75pt;height:25.55pt;width:69.05pt;z-index:251662336;mso-width-relative:page;mso-height-relative:page;" fillcolor="#FFFFFF" filled="t" stroked="t" coordsize="21600,21600" o:gfxdata="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L9/qtUAAAAFAQAADwAAAAAAAAABACAAAAAi&#10;AAAAZHJzL2Rvd25yZXYueG1sUEsBAhQAFAAAAAgAh07iQMirlZsNAgAANgQAAA4AAAAAAAAAAQAg&#10;AAAAJAEAAGRycy9lMm9Eb2MueG1sUEsFBgAAAAAGAAYAWQEAAKM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114300" distR="114300">
            <wp:extent cx="5264785" cy="2659380"/>
            <wp:effectExtent l="0" t="0" r="12065" b="7620"/>
            <wp:docPr id="9" name="图片 9" descr="86a7ac737630dbfb0c3d37f497cc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a7ac737630dbfb0c3d37f497cc71f"/>
                    <pic:cNvPicPr>
                      <a:picLocks noChangeAspect="1"/>
                    </pic:cNvPicPr>
                  </pic:nvPicPr>
                  <pic:blipFill>
                    <a:blip r:embed="rId37"/>
                    <a:srcRect t="25028"/>
                    <a:stretch>
                      <a:fillRect/>
                    </a:stretch>
                  </pic:blipFill>
                  <pic:spPr>
                    <a:xfrm>
                      <a:off x="0" y="0"/>
                      <a:ext cx="5264785" cy="2659380"/>
                    </a:xfrm>
                    <a:prstGeom prst="rect">
                      <a:avLst/>
                    </a:prstGeom>
                  </pic:spPr>
                </pic:pic>
              </a:graphicData>
            </a:graphic>
          </wp:inline>
        </w:drawing>
      </w:r>
    </w:p>
    <w:p>
      <w:pPr>
        <w:pStyle w:val="9"/>
        <w:ind w:firstLine="560"/>
        <w:rPr>
          <w:rFonts w:hint="eastAsia" w:ascii="宋体" w:hAnsi="宋体" w:eastAsia="宋体" w:cs="宋体"/>
        </w:rPr>
      </w:pPr>
      <w:r>
        <w:rPr>
          <w:rFonts w:hint="eastAsia" w:ascii="宋体" w:hAnsi="宋体" w:eastAsia="宋体" w:cs="宋体"/>
        </w:rPr>
        <w:t>（2）新增内排土场治理区域，计划治理面积999740m</w:t>
      </w:r>
      <w:r>
        <w:rPr>
          <w:rFonts w:hint="eastAsia" w:ascii="宋体" w:hAnsi="宋体" w:eastAsia="宋体" w:cs="宋体"/>
          <w:vertAlign w:val="superscript"/>
        </w:rPr>
        <w:t>2</w:t>
      </w:r>
      <w:r>
        <w:rPr>
          <w:rFonts w:hint="eastAsia" w:ascii="宋体" w:hAnsi="宋体" w:eastAsia="宋体" w:cs="宋体"/>
        </w:rPr>
        <w:t>，受征地手续批复影响，内排土场无法正常推进，排土场无法按设计排弃到界，影响复垦进度，</w:t>
      </w:r>
      <w:r>
        <w:rPr>
          <w:rFonts w:hint="eastAsia" w:ascii="宋体" w:hAnsi="宋体" w:eastAsia="宋体" w:cs="宋体"/>
          <w:lang w:val="en-US" w:eastAsia="zh-CN"/>
        </w:rPr>
        <w:t>中期结合征地情况，将复垦计划面积调整为</w:t>
      </w:r>
      <w:r>
        <w:rPr>
          <w:rFonts w:hint="eastAsia" w:ascii="宋体" w:hAnsi="宋体" w:cs="宋体"/>
          <w:lang w:val="en-US" w:eastAsia="zh-CN"/>
        </w:rPr>
        <w:t>608871</w:t>
      </w:r>
      <w:r>
        <w:rPr>
          <w:rFonts w:hint="eastAsia" w:ascii="宋体" w:hAnsi="宋体" w:eastAsia="宋体" w:cs="宋体"/>
        </w:rPr>
        <w:t>m</w:t>
      </w:r>
      <w:r>
        <w:rPr>
          <w:rFonts w:hint="eastAsia" w:ascii="宋体" w:hAnsi="宋体" w:eastAsia="宋体" w:cs="宋体"/>
          <w:vertAlign w:val="superscript"/>
        </w:rPr>
        <w:t>2</w:t>
      </w:r>
      <w:r>
        <w:rPr>
          <w:rFonts w:hint="eastAsia" w:ascii="宋体" w:hAnsi="宋体" w:eastAsia="宋体" w:cs="宋体"/>
          <w:lang w:val="en-US" w:eastAsia="zh-CN"/>
        </w:rPr>
        <w:t>，</w:t>
      </w:r>
      <w:r>
        <w:rPr>
          <w:rFonts w:hint="eastAsia" w:ascii="宋体" w:hAnsi="宋体" w:eastAsia="宋体" w:cs="宋体"/>
        </w:rPr>
        <w:t>实际治理面积约522563m</w:t>
      </w:r>
      <w:r>
        <w:rPr>
          <w:rFonts w:hint="eastAsia" w:ascii="宋体" w:hAnsi="宋体" w:eastAsia="宋体" w:cs="宋体"/>
          <w:vertAlign w:val="superscript"/>
        </w:rPr>
        <w:t>2</w:t>
      </w:r>
      <w:r>
        <w:rPr>
          <w:rFonts w:hint="eastAsia" w:ascii="宋体" w:hAnsi="宋体" w:eastAsia="宋体" w:cs="宋体"/>
        </w:rPr>
        <w:t>，完成覆土、平整、播撒草籽等复垦绿化工作。</w:t>
      </w:r>
    </w:p>
    <w:p>
      <w:pPr>
        <w:rPr>
          <w:rFonts w:hint="eastAsia" w:ascii="宋体" w:hAnsi="宋体" w:eastAsia="宋体" w:cs="宋体"/>
          <w:b/>
          <w:bCs/>
        </w:rPr>
      </w:pPr>
      <w:r>
        <w:rPr>
          <w:rFonts w:hint="eastAsia" w:ascii="宋体" w:hAnsi="宋体" w:eastAsia="宋体" w:cs="宋体"/>
          <w:b/>
          <w:bCs/>
        </w:rPr>
        <w:br w:type="page"/>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表4-5  内排土场治理区域拐点坐标表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1921"/>
        <w:gridCol w:w="1819"/>
        <w:gridCol w:w="602"/>
        <w:gridCol w:w="1704"/>
        <w:gridCol w:w="1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0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360"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13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7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360"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0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0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4877404.5745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38439256.8691</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4878650.9973</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38438735.2011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4877403.7387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38439290.6214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4878640.0608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38438734.2183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4877403.2852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38439308.0621</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4878638.3251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38438750.0237</w:t>
            </w:r>
          </w:p>
        </w:tc>
      </w:tr>
      <w:tr>
        <w:tblPrEx>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4877402.9097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38439327.0945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4878637.7815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38438795.0798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4877402.6882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38439348.6197</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4878635.0592</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38438855.8190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4877402.6538</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38439358.1132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4878634.4004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38438877.8054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4877402.2495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38439390.2955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4878633.3567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38438901.4875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4877400.7332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38439467.0440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4878629.7577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38438937.8287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4877399.7026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38439499.8049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4878625.0015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38439017.0046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4877407.5796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38439500.2016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4878619.1571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38439043.5724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4877426.4433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38439503.1388</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4878613.4698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38439064.2420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4877450.1766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38439503.5688</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4878602.2580</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38439067.7454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4877515.5360</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38439505.4965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4878588.7031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38439071.0335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4877564.7239</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38439506.8725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4878579.7955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38439076.7679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4877610.0615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38439508.1573</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4878569.7028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38439111.7147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4877660.5272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38439510.2839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4878561.1264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38439133.4381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4877706.8863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38439512.4426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4878561.8087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38439165.0726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4877753.4225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38439513.8199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4878556.8877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38439188.5515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4877797.5680</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38439516.3031</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4878509.6616</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38439187.9108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4877829.4236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38439516.7492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4878473.8824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38439189.2931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4877849.1697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38439516.7691</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4878422.3387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38439188.7972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4877888.1785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38439518.0000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4878387.8247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38439186.4371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4877949.7249</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38439520.8763</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4878354.2076</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38439184.6143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4877985.1209</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38439522.0082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4878326.5419</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38439184.1863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4878026.1813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38439523.0539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4878301.3206</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38439181.2992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4878063.0086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38439523.5649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4878253.0333</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38439179.2310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4878085.9087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38439521.0384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4878234.5098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38439180.4000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4878122.8614</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38439521.8899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4878197.0591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38439179.3952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4878150.8733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38439526.3084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4878169.6785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38439178.9389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4878196.8253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38439528.3759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4878153.6264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38439179.5041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4878258.8089</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38439529.8065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4878123.4886</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38439179.8150</w:t>
            </w:r>
          </w:p>
        </w:tc>
      </w:tr>
    </w:tbl>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（续）表4-5  内排土场治理区域拐点坐标表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1921"/>
        <w:gridCol w:w="1819"/>
        <w:gridCol w:w="602"/>
        <w:gridCol w:w="1704"/>
        <w:gridCol w:w="1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0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360"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13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7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360"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0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0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4878335.6468</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38439532.3244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4878086.7737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38439179.9843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4878373.9707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38439534.5212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4878070.0873</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38439179.8811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4878418.9970</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38439537.1150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4878044.5108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38439177.5451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4878461.3973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38439537.4636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4878003.6018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38439176.6347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4878489.7695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38439538.6126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4877968.4695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38439175.3999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4878516.9292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38439539.4094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4877927.9953</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38439173.3188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4878541.1314</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38439539.0132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4877887.1280</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38439172.4769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4878567.3583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38439539.1804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4877859.9481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38439172.5519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4878593.4764</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38439536.8823</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4877842.1447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38439169.8556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4878602.3922</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38439534.7004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4877816.4179</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38439168.9423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4878609.2705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38439530.0395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4877790.3028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38439169.7946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4878623.9287</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38439516.6104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4877757.6398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38439168.4791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4878631.2955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38439502.8950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4877727.7907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38439166.2304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4878635.1383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38439487.4126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4877689.8809</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38439166.6385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4878637.7295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38439462.6714</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4877662.1121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38439167.5967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4878639.4204</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38439441.1921</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4877653.1024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38439167.9824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4878639.7088</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38439429.0688</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4877618.6160</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38439162.3382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4878640.1091</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38439393.2142</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4877602.0462</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38439157.3602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4878641.0433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38439333.0545</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4877600.9165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38439142.3842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4878642.0631</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38439273.0819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4877602.8577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38439111.1276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4878642.9218</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38439225.1679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4877609.2478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38439082.7256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53</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4878643.9703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38439152.9150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116</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4877602.6051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38439081.9954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54</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4878644.7905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38439105.1007</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117</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4877565.9648</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38439083.2490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55</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4878645.7516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38439045.0290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118</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4877555.9815</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38439093.3207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56</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4878646.7883</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38438985.0900</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119</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4877544.7020</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38439093.5748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57</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4878647.5475</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38438937.1586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120</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4877498.6624</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38439092.8520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58</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4878648.2454</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38438889.0319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121</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4877453.1911</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38439091.6126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59</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4878648.8146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38438841.0949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122</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4877428.9687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38439088.7462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60</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4878649.6898</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38438804.9916</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123</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4877418.7866</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38439087.2161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61</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4878649.8746</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38438793.1749</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124</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4877414.8819</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38439119.3763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1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62</w:t>
            </w:r>
          </w:p>
        </w:tc>
        <w:tc>
          <w:tcPr>
            <w:tcW w:w="113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4878650.3440</w:t>
            </w:r>
          </w:p>
        </w:tc>
        <w:tc>
          <w:tcPr>
            <w:tcW w:w="107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38438769.1138</w:t>
            </w:r>
          </w:p>
        </w:tc>
        <w:tc>
          <w:tcPr>
            <w:tcW w:w="360"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125</w:t>
            </w:r>
          </w:p>
        </w:tc>
        <w:tc>
          <w:tcPr>
            <w:tcW w:w="1006"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4877409.9807</w:t>
            </w:r>
          </w:p>
        </w:tc>
        <w:tc>
          <w:tcPr>
            <w:tcW w:w="100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38439171.0837</w:t>
            </w:r>
          </w:p>
        </w:tc>
      </w:tr>
    </w:tbl>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（续）表4-5  内排土场治理区域拐点坐标表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6"/>
        <w:gridCol w:w="1904"/>
        <w:gridCol w:w="1802"/>
        <w:gridCol w:w="585"/>
        <w:gridCol w:w="1776"/>
        <w:gridCol w:w="1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7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343"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8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343"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63</w:t>
            </w:r>
          </w:p>
        </w:tc>
        <w:tc>
          <w:tcPr>
            <w:tcW w:w="111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4878650.5702</w:t>
            </w:r>
          </w:p>
        </w:tc>
        <w:tc>
          <w:tcPr>
            <w:tcW w:w="1057"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38438745.8667</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126</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4877406.7801</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38439212.1026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6"/>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区域一面积456306m</w:t>
            </w:r>
            <w:r>
              <w:rPr>
                <w:rFonts w:hint="eastAsia" w:ascii="宋体" w:hAnsi="宋体" w:eastAsia="宋体" w:cs="宋体"/>
                <w:sz w:val="24"/>
                <w:szCs w:val="24"/>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38439590.9684</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4878615.4440</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38439673.3645</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4878128.9892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38439594.4220</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4878618.4083</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38439677.1381</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4877947.0158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38439624.5028</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4878593.6801</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38439672.6144</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4877891.0958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38439632.0109</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4878585.1694</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38439638.7326</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4877794.6840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38439636.0109</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4878577.5235</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38439620.3138</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4877783.8745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38439638.6578</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4878565.2726</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38439585.0595</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4877744.1691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38439638.9187</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4878444.8415</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38439581.5365</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4877683.7148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38439638.3579</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4878370.3163</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38439565.4148</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4877687.2995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38439660.0047</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4878369.0399</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38439594.9376</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4878557.8712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38439668.7476</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4878322.1895</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38439593.8629</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4878583.7749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111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38439673.2791</w:t>
            </w:r>
          </w:p>
        </w:tc>
        <w:tc>
          <w:tcPr>
            <w:tcW w:w="1057"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4878252.1529</w:t>
            </w:r>
          </w:p>
        </w:tc>
        <w:tc>
          <w:tcPr>
            <w:tcW w:w="3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38439591.6953</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4878602.5021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6"/>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区域二面积66257m</w:t>
            </w:r>
            <w:r>
              <w:rPr>
                <w:rFonts w:hint="eastAsia" w:ascii="宋体" w:hAnsi="宋体" w:eastAsia="宋体" w:cs="宋体"/>
                <w:sz w:val="24"/>
                <w:szCs w:val="24"/>
                <w:vertAlign w:val="superscript"/>
              </w:rPr>
              <w:t>2</w:t>
            </w:r>
          </w:p>
        </w:tc>
      </w:tr>
    </w:tbl>
    <w:p>
      <w:pPr>
        <w:pStyle w:val="9"/>
        <w:ind w:firstLine="560"/>
        <w:rPr>
          <w:rFonts w:hint="eastAsia" w:ascii="宋体" w:hAnsi="宋体" w:eastAsia="宋体" w:cs="宋体"/>
        </w:rPr>
      </w:pP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3360" behindDoc="0" locked="0" layoutInCell="1" allowOverlap="1">
                <wp:simplePos x="0" y="0"/>
                <wp:positionH relativeFrom="column">
                  <wp:posOffset>21590</wp:posOffset>
                </wp:positionH>
                <wp:positionV relativeFrom="paragraph">
                  <wp:posOffset>15875</wp:posOffset>
                </wp:positionV>
                <wp:extent cx="876935" cy="324485"/>
                <wp:effectExtent l="4445" t="4445" r="13970" b="13970"/>
                <wp:wrapNone/>
                <wp:docPr id="17" name="文本框 6"/>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治理前</w:t>
                            </w:r>
                          </w:p>
                        </w:txbxContent>
                      </wps:txbx>
                      <wps:bodyPr upright="1"/>
                    </wps:wsp>
                  </a:graphicData>
                </a:graphic>
              </wp:anchor>
            </w:drawing>
          </mc:Choice>
          <mc:Fallback>
            <w:pict>
              <v:shape id="文本框 6" o:spid="_x0000_s1026" o:spt="202" type="#_x0000_t202" style="position:absolute;left:0pt;margin-left:1.7pt;margin-top:1.25pt;height:25.55pt;width:69.05pt;z-index:251663360;mso-width-relative:page;mso-height-relative:page;" fillcolor="#FFFFFF" filled="t" stroked="t" coordsize="21600,21600" o:gfxdata="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yQVx1gAAAAYBAAAPAAAAAAAAAAEAIAAAACIA&#10;AABkcnMvZG93bnJldi54bWxQSwECFAAUAAAACACHTuJAsTDyMQsCAAA2BAAADgAAAAAAAAABACAA&#10;AAAlAQAAZHJzL2Uyb0RvYy54bWxQSwUGAAAAAAYABgBZAQAAogUAAAAA&#10;">
                <v:fill on="t" focussize="0,0"/>
                <v:stroke color="#000000" joinstyle="miter"/>
                <v:imagedata o:title=""/>
                <o:lock v:ext="edit" aspectratio="f"/>
                <v:textbox>
                  <w:txbxContent>
                    <w:p>
                      <w:pPr>
                        <w:spacing w:line="0" w:lineRule="atLeast"/>
                        <w:ind w:firstLine="0" w:firstLineChars="0"/>
                        <w:jc w:val="center"/>
                      </w:pPr>
                      <w:r>
                        <w:rPr>
                          <w:rFonts w:hint="eastAsia"/>
                        </w:rPr>
                        <w:t>治理前</w:t>
                      </w:r>
                    </w:p>
                  </w:txbxContent>
                </v:textbox>
              </v:shape>
            </w:pict>
          </mc:Fallback>
        </mc:AlternateContent>
      </w:r>
      <w:r>
        <w:rPr>
          <w:rFonts w:hint="eastAsia" w:ascii="宋体" w:hAnsi="宋体" w:eastAsia="宋体" w:cs="宋体"/>
        </w:rPr>
        <w:drawing>
          <wp:inline distT="0" distB="0" distL="0" distR="0">
            <wp:extent cx="5175885" cy="2966085"/>
            <wp:effectExtent l="0" t="0" r="0" b="0"/>
            <wp:docPr id="25" name="图片 25" descr="沙漠中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沙漠中的风景&#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r="1866"/>
                    <a:stretch>
                      <a:fillRect/>
                    </a:stretch>
                  </pic:blipFill>
                  <pic:spPr>
                    <a:xfrm>
                      <a:off x="0" y="0"/>
                      <a:ext cx="5175885" cy="2966085"/>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132715</wp:posOffset>
                </wp:positionV>
                <wp:extent cx="876935" cy="324485"/>
                <wp:effectExtent l="4445" t="4445" r="13970" b="13970"/>
                <wp:wrapNone/>
                <wp:docPr id="21" name="文本框 9"/>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9" o:spid="_x0000_s1026" o:spt="202" type="#_x0000_t202" style="position:absolute;left:0pt;margin-left:3.35pt;margin-top:10.45pt;height:25.55pt;width:69.05pt;z-index:251666432;mso-width-relative:page;mso-height-relative:page;" fillcolor="#FFFFFF" filled="t" stroked="t" coordsize="21600,21600" o:gfxdata="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EagxtYAAAAHAQAADwAAAAAAAAABACAAAAAi&#10;AAAAZHJzL2Rvd25yZXYueG1sUEsBAhQAFAAAAAgAh07iQMbymOcMAgAANgQAAA4AAAAAAAAAAQAg&#10;AAAAJQEAAGRycy9lMm9Eb2MueG1sUEsFBgAAAAAGAAYAWQEAAKM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114300" distR="114300">
            <wp:extent cx="5155565" cy="2981960"/>
            <wp:effectExtent l="0" t="0" r="0" b="0"/>
            <wp:docPr id="12" name="图片 12" descr="cfaee59b797bffb92fd12eb3cb1f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faee59b797bffb92fd12eb3cb1f4c1"/>
                    <pic:cNvPicPr>
                      <a:picLocks noChangeAspect="1"/>
                    </pic:cNvPicPr>
                  </pic:nvPicPr>
                  <pic:blipFill>
                    <a:blip r:embed="rId39"/>
                    <a:srcRect t="22917"/>
                    <a:stretch>
                      <a:fillRect/>
                    </a:stretch>
                  </pic:blipFill>
                  <pic:spPr>
                    <a:xfrm>
                      <a:off x="0" y="0"/>
                      <a:ext cx="5155565" cy="2981960"/>
                    </a:xfrm>
                    <a:prstGeom prst="rect">
                      <a:avLst/>
                    </a:prstGeom>
                  </pic:spPr>
                </pic:pic>
              </a:graphicData>
            </a:graphic>
          </wp:inline>
        </w:drawing>
      </w:r>
    </w:p>
    <w:p>
      <w:pPr>
        <w:pStyle w:val="9"/>
        <w:ind w:firstLine="560"/>
        <w:rPr>
          <w:rFonts w:hint="eastAsia" w:ascii="宋体" w:hAnsi="宋体" w:eastAsia="宋体" w:cs="宋体"/>
        </w:rPr>
      </w:pPr>
      <w:r>
        <w:rPr>
          <w:rFonts w:hint="eastAsia" w:ascii="宋体" w:hAnsi="宋体" w:eastAsia="宋体" w:cs="宋体"/>
        </w:rPr>
        <w:t>（3）办公生活区美化，计划治理面积约17800m</w:t>
      </w:r>
      <w:r>
        <w:rPr>
          <w:rFonts w:hint="eastAsia" w:ascii="宋体" w:hAnsi="宋体" w:eastAsia="宋体" w:cs="宋体"/>
          <w:vertAlign w:val="superscript"/>
        </w:rPr>
        <w:t>2</w:t>
      </w:r>
      <w:r>
        <w:rPr>
          <w:rFonts w:hint="eastAsia" w:ascii="宋体" w:hAnsi="宋体" w:eastAsia="宋体" w:cs="宋体"/>
        </w:rPr>
        <w:t>，实际治理面积17800m</w:t>
      </w:r>
      <w:r>
        <w:rPr>
          <w:rFonts w:hint="eastAsia" w:ascii="宋体" w:hAnsi="宋体" w:eastAsia="宋体" w:cs="宋体"/>
          <w:vertAlign w:val="superscript"/>
        </w:rPr>
        <w:t>2</w:t>
      </w:r>
      <w:r>
        <w:rPr>
          <w:rFonts w:hint="eastAsia" w:ascii="宋体" w:hAnsi="宋体" w:eastAsia="宋体" w:cs="宋体"/>
        </w:rPr>
        <w:t>，已按计划完成全部工作，主要措施为在办公生活区宿舍楼等区域周围绿化并种植树木。</w:t>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表4-6  办公生活区美化区域拐点坐标表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1"/>
        <w:gridCol w:w="1702"/>
        <w:gridCol w:w="1761"/>
        <w:gridCol w:w="834"/>
        <w:gridCol w:w="1703"/>
        <w:gridCol w:w="1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1"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9"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2"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9"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4879384.20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38436530.88</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4879526.13</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38436793.65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4879385.16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38436530.57</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4879529.25</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38436791.51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4879385.55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38436527.45</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4879530.22</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38436788.06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4879387.78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38436525.39</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4879524.71</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38436769.69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4879408.66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38436518.84</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4879518.93</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38436771.57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4879412.94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38436532.65</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4879506.39</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38436731.98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4879413.99</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38436532.32</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4879526.43</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38436725.64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w:t>
            </w:r>
          </w:p>
        </w:tc>
        <w:tc>
          <w:tcPr>
            <w:tcW w:w="99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4879415.06</w:t>
            </w:r>
          </w:p>
        </w:tc>
        <w:tc>
          <w:tcPr>
            <w:tcW w:w="1033"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38436535.70</w:t>
            </w:r>
          </w:p>
        </w:tc>
        <w:tc>
          <w:tcPr>
            <w:tcW w:w="48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4879525.99</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38436724.08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4879414.00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38436536.01</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4879505.91</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38436730.33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4879422.45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38436562.69</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4879479.88</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38436739.17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4879423.51</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38436562.39</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4879477.36</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38436730.86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4879424.57</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38436565.74</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4879523.59</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38436716.30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4879423.51</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38436566.05</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4879523.10</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38436714.73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4879426.64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38436575.91</w:t>
            </w:r>
          </w:p>
        </w:tc>
        <w:tc>
          <w:tcPr>
            <w:tcW w:w="489"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4879496.57</w:t>
            </w:r>
          </w:p>
        </w:tc>
        <w:tc>
          <w:tcPr>
            <w:tcW w:w="9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38436723.09</w:t>
            </w:r>
          </w:p>
        </w:tc>
      </w:tr>
    </w:tbl>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（续）表4-6  办公生活区美化区域拐点坐标表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9"/>
        <w:gridCol w:w="1702"/>
        <w:gridCol w:w="1761"/>
        <w:gridCol w:w="832"/>
        <w:gridCol w:w="1703"/>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1"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4879406.42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38436582.24</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69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4879492.20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4879412.96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38436604.57</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4879490.09</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38436709.97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4879427.58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38436600.08</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4879486.80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38436699.57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4879435.26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38436625.83</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4879489.11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38436698.84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4879424.45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38436629.27</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4879485.28</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38436686.73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4879426.68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38436636.69</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4879484.01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38436687.13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4879431.69</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38436651.65</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4879480.72</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38436676.73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4879429.30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38436652.41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4879481.99</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38436676.33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4879429.75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38436653.81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4879480.41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38436671.37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4879409.34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38436660.27</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4879478.10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38436672.10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4879410.39</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38436663.61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79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4879474.81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38436661.71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4879416.68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38436661.62</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4879475.84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38436661.38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4879425.77</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38436690.34</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4879474.85</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28</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4879444.44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38436684.42</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4879476.11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38436657.79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4879451.29</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38436706.04</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4879472.74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38436647.15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30</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4879432.63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38436711.91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4879499.05</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38436638.80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4879441.73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38436740.64</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4879498.63</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38436637.46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4879467.28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38436732.55</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4879452.47</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38436651.26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4879473.06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38436752.31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4879450.12</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38436643.35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4879426.52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38436767.20</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4879496.06</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38436629.73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4879432.33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38436785.36</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89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4879495.54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4879458.32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38436778.10</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4879475.50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38436634.42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4879471.64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38436820.01</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4879462.97</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38436594.83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4879402.42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38436841.59</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4879482.99</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38436588.49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4879397.80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38436826.60</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4879480.13</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38436579.36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40</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4879396.70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38436826.82</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4879452.41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38436587.93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4879401.66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38436842.87</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4879449.75</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38436579.51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4879431.11</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38436833.92</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96</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4879477.58</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38436571.23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4879468.44</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38436955.10</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4879474.43</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4879477.08</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38436952.29</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4879456.16</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38436567.29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4879476.15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38436949.13</w:t>
            </w:r>
          </w:p>
        </w:tc>
        <w:tc>
          <w:tcPr>
            <w:tcW w:w="488" w:type="pct"/>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99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4879438.70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38436512.26</w:t>
            </w:r>
          </w:p>
        </w:tc>
      </w:tr>
    </w:tbl>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（续）表4-6  办公生活区美化区域拐点坐标表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7"/>
        <w:gridCol w:w="3"/>
        <w:gridCol w:w="1698"/>
        <w:gridCol w:w="3"/>
        <w:gridCol w:w="1757"/>
        <w:gridCol w:w="3"/>
        <w:gridCol w:w="828"/>
        <w:gridCol w:w="5"/>
        <w:gridCol w:w="1698"/>
        <w:gridCol w:w="5"/>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1" w:type="pct"/>
            <w:gridSpan w:val="4"/>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9"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2" w:type="pct"/>
            <w:gridSpan w:val="3"/>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9"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46</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4879557.84</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38436923.20</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100</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4879456.45</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38436506.62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47</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4879554.42</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38436912.01</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101</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4879452.64</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38436494.64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4879536.76</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38436917.75</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102</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4879435.04</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38436499.80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49</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4879534.87</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38436911.81</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103</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4879435.75</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38436502.22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50</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4879526.29</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38436914.32</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104</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4879432.29</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38436503.27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51</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4879521.87</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38436899.48</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105</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4879434.41</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38436509.94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52</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4879530.15</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38436897.21</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106</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4879387.38</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38436524.46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53</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4879502.29</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38436811.55</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107</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4879384.66</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38436526.99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54</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4879528.85</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38436803.29</w:t>
            </w:r>
          </w:p>
        </w:tc>
        <w:tc>
          <w:tcPr>
            <w:tcW w:w="488" w:type="pct"/>
            <w:gridSpan w:val="2"/>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sz w:val="24"/>
                <w:szCs w:val="24"/>
              </w:rPr>
              <w:t>108</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4879384.04</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38436529.45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1"/>
            <w:vAlign w:val="center"/>
          </w:tcPr>
          <w:p>
            <w:pPr>
              <w:spacing w:line="0" w:lineRule="atLeast"/>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办公生活区美化区域面积约17800m</w:t>
            </w:r>
            <w:r>
              <w:rPr>
                <w:rFonts w:hint="eastAsia" w:ascii="宋体" w:hAnsi="宋体" w:eastAsia="宋体" w:cs="宋体"/>
                <w:kern w:val="0"/>
                <w:sz w:val="24"/>
                <w:szCs w:val="24"/>
                <w:vertAlign w:val="superscript"/>
              </w:rPr>
              <w:t>2</w:t>
            </w:r>
          </w:p>
        </w:tc>
      </w:tr>
    </w:tbl>
    <w:p>
      <w:pPr>
        <w:pStyle w:val="9"/>
        <w:ind w:firstLine="560"/>
        <w:rPr>
          <w:rFonts w:hint="eastAsia" w:ascii="宋体" w:hAnsi="宋体" w:eastAsia="宋体" w:cs="宋体"/>
        </w:rPr>
      </w:pPr>
    </w:p>
    <w:p>
      <w:pPr>
        <w:pStyle w:val="9"/>
        <w:spacing w:after="156" w:afterLines="50"/>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87630</wp:posOffset>
                </wp:positionV>
                <wp:extent cx="876935" cy="324485"/>
                <wp:effectExtent l="4445" t="4445" r="13970" b="13970"/>
                <wp:wrapNone/>
                <wp:docPr id="19" name="文本框 7"/>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治理前</w:t>
                            </w:r>
                          </w:p>
                        </w:txbxContent>
                      </wps:txbx>
                      <wps:bodyPr upright="1"/>
                    </wps:wsp>
                  </a:graphicData>
                </a:graphic>
              </wp:anchor>
            </w:drawing>
          </mc:Choice>
          <mc:Fallback>
            <w:pict>
              <v:shape id="文本框 7" o:spid="_x0000_s1026" o:spt="202" type="#_x0000_t202" style="position:absolute;left:0pt;margin-left:1.05pt;margin-top:6.9pt;height:25.55pt;width:69.05pt;z-index:251664384;mso-width-relative:page;mso-height-relative:page;" fillcolor="#FFFFFF" filled="t" stroked="t" coordsize="21600,21600" o:gfxdata="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AJWH1gAAAAcBAAAPAAAAAAAAAAEAIAAAACIA&#10;AABkcnMvZG93bnJldi54bWxQSwECFAAUAAAACACHTuJAU6QjewsCAAA2BAAADgAAAAAAAAABACAA&#10;AAAlAQAAZHJzL2Uyb0RvYy54bWxQSwUGAAAAAAYABgBZAQAAogUAAAAA&#10;">
                <v:fill on="t" focussize="0,0"/>
                <v:stroke color="#000000" joinstyle="miter"/>
                <v:imagedata o:title=""/>
                <o:lock v:ext="edit" aspectratio="f"/>
                <v:textbox>
                  <w:txbxContent>
                    <w:p>
                      <w:pPr>
                        <w:spacing w:line="0" w:lineRule="atLeast"/>
                        <w:ind w:firstLine="0" w:firstLineChars="0"/>
                        <w:jc w:val="center"/>
                      </w:pPr>
                      <w:r>
                        <w:rPr>
                          <w:rFonts w:hint="eastAsia"/>
                        </w:rPr>
                        <w:t>治理前</w:t>
                      </w:r>
                    </w:p>
                  </w:txbxContent>
                </v:textbox>
              </v:shape>
            </w:pict>
          </mc:Fallback>
        </mc:AlternateContent>
      </w:r>
      <w:r>
        <w:rPr>
          <w:rFonts w:hint="eastAsia" w:ascii="宋体" w:hAnsi="宋体" w:eastAsia="宋体" w:cs="宋体"/>
        </w:rPr>
        <w:drawing>
          <wp:inline distT="0" distB="0" distL="0" distR="0">
            <wp:extent cx="5274310" cy="2968625"/>
            <wp:effectExtent l="0" t="0" r="2540" b="3175"/>
            <wp:docPr id="28" name="图片 28"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街道上的风景&#10;&#10;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968625"/>
                    </a:xfrm>
                    <a:prstGeom prst="rect">
                      <a:avLst/>
                    </a:prstGeom>
                    <a:noFill/>
                    <a:ln>
                      <a:noFill/>
                    </a:ln>
                  </pic:spPr>
                </pic:pic>
              </a:graphicData>
            </a:graphic>
          </wp:inline>
        </w:drawing>
      </w:r>
    </w:p>
    <w:p>
      <w:pPr>
        <w:pStyle w:val="9"/>
        <w:spacing w:after="156" w:afterLines="50"/>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7456" behindDoc="0" locked="0" layoutInCell="1" allowOverlap="1">
                <wp:simplePos x="0" y="0"/>
                <wp:positionH relativeFrom="column">
                  <wp:posOffset>22860</wp:posOffset>
                </wp:positionH>
                <wp:positionV relativeFrom="paragraph">
                  <wp:posOffset>95885</wp:posOffset>
                </wp:positionV>
                <wp:extent cx="876935" cy="324485"/>
                <wp:effectExtent l="4445" t="4445" r="13970" b="13970"/>
                <wp:wrapNone/>
                <wp:docPr id="22" name="文本框 12"/>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12" o:spid="_x0000_s1026" o:spt="202" type="#_x0000_t202" style="position:absolute;left:0pt;margin-left:1.8pt;margin-top:7.55pt;height:25.55pt;width:69.05pt;z-index:251667456;mso-width-relative:page;mso-height-relative:page;" fillcolor="#FFFFFF" filled="t" stroked="t" coordsize="21600,21600" o:gfxdata="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qIzdYAAAAHAQAADwAAAAAAAAABACAAAAAi&#10;AAAAZHJzL2Rvd25yZXYueG1sUEsBAhQAFAAAAAgAh07iQLMjOegMAgAANwQAAA4AAAAAAAAAAQAg&#10;AAAAJQEAAGRycy9lMm9Eb2MueG1sUEsFBgAAAAAGAAYAWQEAAKM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0" distR="0">
            <wp:extent cx="5273040" cy="2987675"/>
            <wp:effectExtent l="0" t="0" r="0" b="0"/>
            <wp:docPr id="1590070373" name="图片 1" descr="花园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70373" name="图片 1" descr="花园的建筑&#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b="24525"/>
                    <a:stretch>
                      <a:fillRect/>
                    </a:stretch>
                  </pic:blipFill>
                  <pic:spPr>
                    <a:xfrm>
                      <a:off x="0" y="0"/>
                      <a:ext cx="5274310" cy="2988210"/>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69215</wp:posOffset>
                </wp:positionV>
                <wp:extent cx="876935" cy="324485"/>
                <wp:effectExtent l="4445" t="4445" r="13970" b="13970"/>
                <wp:wrapNone/>
                <wp:docPr id="20" name="文本框 8"/>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治理前</w:t>
                            </w:r>
                          </w:p>
                        </w:txbxContent>
                      </wps:txbx>
                      <wps:bodyPr upright="1"/>
                    </wps:wsp>
                  </a:graphicData>
                </a:graphic>
              </wp:anchor>
            </w:drawing>
          </mc:Choice>
          <mc:Fallback>
            <w:pict>
              <v:shape id="文本框 8" o:spid="_x0000_s1026" o:spt="202" type="#_x0000_t202" style="position:absolute;left:0pt;margin-left:1.8pt;margin-top:5.45pt;height:25.55pt;width:69.05pt;z-index:251665408;mso-width-relative:page;mso-height-relative:page;" fillcolor="#FFFFFF" filled="t" stroked="t" coordsize="21600,21600" o:gfxdata="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3n0mnVAAAABwEAAA8AAAAAAAAAAQAgAAAAIgAA&#10;AGRycy9kb3ducmV2LnhtbFBLAQIUABQAAAAIAIdO4kBvewB5CwIAADYEAAAOAAAAAAAAAAEAIAAA&#10;ACQBAABkcnMvZTJvRG9jLnhtbFBLBQYAAAAABgAGAFkBAAChBQAAAAA=&#10;">
                <v:fill on="t" focussize="0,0"/>
                <v:stroke color="#000000" joinstyle="miter"/>
                <v:imagedata o:title=""/>
                <o:lock v:ext="edit" aspectratio="f"/>
                <v:textbox>
                  <w:txbxContent>
                    <w:p>
                      <w:pPr>
                        <w:spacing w:line="0" w:lineRule="atLeast"/>
                        <w:ind w:firstLine="0" w:firstLineChars="0"/>
                        <w:jc w:val="center"/>
                      </w:pPr>
                      <w:r>
                        <w:rPr>
                          <w:rFonts w:hint="eastAsia"/>
                        </w:rPr>
                        <w:t>治理前</w:t>
                      </w:r>
                    </w:p>
                  </w:txbxContent>
                </v:textbox>
              </v:shape>
            </w:pict>
          </mc:Fallback>
        </mc:AlternateContent>
      </w:r>
      <w:r>
        <w:rPr>
          <w:rFonts w:hint="eastAsia" w:ascii="宋体" w:hAnsi="宋体" w:eastAsia="宋体" w:cs="宋体"/>
        </w:rPr>
        <w:drawing>
          <wp:inline distT="0" distB="0" distL="0" distR="0">
            <wp:extent cx="5273040" cy="2679065"/>
            <wp:effectExtent l="0" t="0" r="0" b="0"/>
            <wp:docPr id="27" name="图片 1" descr="沙漠中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沙漠中的风景&#10;&#10;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b="6161"/>
                    <a:stretch>
                      <a:fillRect/>
                    </a:stretch>
                  </pic:blipFill>
                  <pic:spPr>
                    <a:xfrm>
                      <a:off x="0" y="0"/>
                      <a:ext cx="5275897" cy="2680808"/>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95885</wp:posOffset>
                </wp:positionV>
                <wp:extent cx="876935" cy="324485"/>
                <wp:effectExtent l="4445" t="4445" r="13970" b="13970"/>
                <wp:wrapNone/>
                <wp:docPr id="24" name="文本框 13"/>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13" o:spid="_x0000_s1026" o:spt="202" type="#_x0000_t202" style="position:absolute;left:0pt;margin-left:1.8pt;margin-top:7.55pt;height:25.55pt;width:69.05pt;z-index:251668480;mso-width-relative:page;mso-height-relative:page;" fillcolor="#FFFFFF" filled="t" stroked="t" coordsize="21600,21600" o:gfxdata="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qIzdYAAAAHAQAADwAAAAAAAAABACAAAAAi&#10;AAAAZHJzL2Rvd25yZXYueG1sUEsBAhQAFAAAAAgAh07iQMzeh/UMAgAANwQAAA4AAAAAAAAAAQAg&#10;AAAAJQEAAGRycy9lMm9Eb2MueG1sUEsFBgAAAAAGAAYAWQEAAKM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0" distR="0">
            <wp:extent cx="5273040" cy="2774950"/>
            <wp:effectExtent l="0" t="0" r="0" b="0"/>
            <wp:docPr id="605661001" name="图片 2" descr="公路旁的铁路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1001" name="图片 2" descr="公路旁的铁路上行驶&#10;&#10;描述已自动生成"/>
                    <pic:cNvPicPr>
                      <a:picLocks noChangeAspect="1" noChangeArrowheads="1"/>
                    </pic:cNvPicPr>
                  </pic:nvPicPr>
                  <pic:blipFill>
                    <a:blip r:embed="rId43" cstate="print">
                      <a:extLst>
                        <a:ext uri="{28A0092B-C50C-407E-A947-70E740481C1C}">
                          <a14:useLocalDpi xmlns:a14="http://schemas.microsoft.com/office/drawing/2010/main" val="0"/>
                        </a:ext>
                      </a:extLst>
                    </a:blip>
                    <a:srcRect b="29890"/>
                    <a:stretch>
                      <a:fillRect/>
                    </a:stretch>
                  </pic:blipFill>
                  <pic:spPr>
                    <a:xfrm>
                      <a:off x="0" y="0"/>
                      <a:ext cx="5273040" cy="2775098"/>
                    </a:xfrm>
                    <a:prstGeom prst="rect">
                      <a:avLst/>
                    </a:prstGeom>
                    <a:noFill/>
                    <a:ln>
                      <a:noFill/>
                    </a:ln>
                  </pic:spPr>
                </pic:pic>
              </a:graphicData>
            </a:graphic>
          </wp:inline>
        </w:drawing>
      </w:r>
    </w:p>
    <w:p>
      <w:pPr>
        <w:pStyle w:val="9"/>
        <w:ind w:firstLine="0" w:firstLineChars="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54610</wp:posOffset>
                </wp:positionV>
                <wp:extent cx="876935" cy="324485"/>
                <wp:effectExtent l="4445" t="4445" r="13970" b="13970"/>
                <wp:wrapNone/>
                <wp:docPr id="29" name="文本框 14"/>
                <wp:cNvGraphicFramePr/>
                <a:graphic xmlns:a="http://schemas.openxmlformats.org/drawingml/2006/main">
                  <a:graphicData uri="http://schemas.microsoft.com/office/word/2010/wordprocessingShape">
                    <wps:wsp>
                      <wps:cNvSpPr txBox="1"/>
                      <wps:spPr>
                        <a:xfrm>
                          <a:off x="0" y="0"/>
                          <a:ext cx="87693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0" w:firstLineChars="0"/>
                              <w:jc w:val="center"/>
                            </w:pPr>
                            <w:r>
                              <w:rPr>
                                <w:rFonts w:hint="eastAsia"/>
                              </w:rPr>
                              <w:t>治理后</w:t>
                            </w:r>
                          </w:p>
                        </w:txbxContent>
                      </wps:txbx>
                      <wps:bodyPr upright="1"/>
                    </wps:wsp>
                  </a:graphicData>
                </a:graphic>
              </wp:anchor>
            </w:drawing>
          </mc:Choice>
          <mc:Fallback>
            <w:pict>
              <v:shape id="文本框 14" o:spid="_x0000_s1026" o:spt="202" type="#_x0000_t202" style="position:absolute;left:0pt;margin-left:1.8pt;margin-top:4.3pt;height:25.55pt;width:69.05pt;z-index:251669504;mso-width-relative:page;mso-height-relative:page;" fillcolor="#FFFFFF" filled="t" stroked="t" coordsize="21600,21600" o:gfxdata="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8wawNUAAAAGAQAADwAAAAAAAAABACAAAAAi&#10;AAAAZHJzL2Rvd25yZXYueG1sUEsBAhQAFAAAAAgAh07iQNydnFENAgAANwQAAA4AAAAAAAAAAQAg&#10;AAAAJAEAAGRycy9lMm9Eb2MueG1sUEsFBgAAAAAGAAYAWQEAAKMFAAAAAA==&#10;">
                <v:fill on="t" focussize="0,0"/>
                <v:stroke color="#000000" joinstyle="miter"/>
                <v:imagedata o:title=""/>
                <o:lock v:ext="edit" aspectratio="f"/>
                <v:textbox>
                  <w:txbxContent>
                    <w:p>
                      <w:pPr>
                        <w:spacing w:line="0" w:lineRule="atLeast"/>
                        <w:ind w:firstLine="0" w:firstLineChars="0"/>
                        <w:jc w:val="center"/>
                      </w:pPr>
                      <w:r>
                        <w:rPr>
                          <w:rFonts w:hint="eastAsia"/>
                        </w:rPr>
                        <w:t>治理后</w:t>
                      </w:r>
                    </w:p>
                  </w:txbxContent>
                </v:textbox>
              </v:shape>
            </w:pict>
          </mc:Fallback>
        </mc:AlternateContent>
      </w:r>
      <w:r>
        <w:rPr>
          <w:rFonts w:hint="eastAsia" w:ascii="宋体" w:hAnsi="宋体" w:eastAsia="宋体" w:cs="宋体"/>
        </w:rPr>
        <w:drawing>
          <wp:inline distT="0" distB="0" distL="0" distR="0">
            <wp:extent cx="5273040" cy="2902585"/>
            <wp:effectExtent l="0" t="0" r="0" b="0"/>
            <wp:docPr id="432156803" name="图片 3" descr="路旁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6803" name="图片 3" descr="路旁的建筑&#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b="26676"/>
                    <a:stretch>
                      <a:fillRect/>
                    </a:stretch>
                  </pic:blipFill>
                  <pic:spPr>
                    <a:xfrm>
                      <a:off x="0" y="0"/>
                      <a:ext cx="5274310" cy="2903040"/>
                    </a:xfrm>
                    <a:prstGeom prst="rect">
                      <a:avLst/>
                    </a:prstGeom>
                    <a:noFill/>
                    <a:ln>
                      <a:noFill/>
                    </a:ln>
                  </pic:spPr>
                </pic:pic>
              </a:graphicData>
            </a:graphic>
          </wp:inline>
        </w:drawing>
      </w:r>
    </w:p>
    <w:p>
      <w:pPr>
        <w:pStyle w:val="9"/>
        <w:ind w:firstLine="560"/>
        <w:rPr>
          <w:rFonts w:hint="eastAsia" w:ascii="宋体" w:hAnsi="宋体" w:cs="宋体"/>
          <w:lang w:val="en-US" w:eastAsia="zh-CN"/>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）对以往治理区植被恢复不佳的区域进行补种及铺设管线、安装喷灌设施，新铺设管线</w:t>
      </w:r>
      <w:r>
        <w:rPr>
          <w:rFonts w:hint="eastAsia" w:ascii="宋体" w:hAnsi="宋体" w:cs="宋体"/>
          <w:lang w:val="en-US" w:eastAsia="zh-CN"/>
        </w:rPr>
        <w:t>2454m，补种195946m</w:t>
      </w:r>
      <w:r>
        <w:rPr>
          <w:rFonts w:hint="eastAsia" w:ascii="宋体" w:hAnsi="宋体" w:cs="宋体"/>
          <w:vertAlign w:val="superscript"/>
          <w:lang w:val="en-US" w:eastAsia="zh-CN"/>
        </w:rPr>
        <w:t>2</w:t>
      </w:r>
      <w:r>
        <w:rPr>
          <w:rFonts w:hint="eastAsia" w:ascii="宋体" w:hAnsi="宋体" w:cs="宋体"/>
          <w:lang w:val="en-US" w:eastAsia="zh-CN"/>
        </w:rPr>
        <w:t>。</w:t>
      </w:r>
    </w:p>
    <w:p>
      <w:pPr>
        <w:pStyle w:val="9"/>
        <w:ind w:firstLine="560"/>
        <w:rPr>
          <w:rFonts w:hint="default" w:ascii="宋体" w:hAnsi="宋体" w:cs="宋体"/>
          <w:lang w:val="en-US" w:eastAsia="zh-CN"/>
        </w:rPr>
      </w:pPr>
      <w:r>
        <w:rPr>
          <w:rFonts w:hint="eastAsia" w:ascii="宋体" w:hAnsi="宋体" w:cs="宋体"/>
          <w:lang w:val="en-US" w:eastAsia="zh-CN"/>
        </w:rPr>
        <w:t>2023年度实际完成治理工作量详见表4-7。</w:t>
      </w:r>
    </w:p>
    <w:p>
      <w:pPr>
        <w:rPr>
          <w:rFonts w:hint="eastAsia" w:ascii="宋体" w:hAnsi="宋体" w:cs="宋体"/>
          <w:b/>
          <w:bCs/>
          <w:lang w:val="en-US" w:eastAsia="zh-CN"/>
        </w:rPr>
      </w:pPr>
      <w:r>
        <w:rPr>
          <w:rFonts w:hint="eastAsia" w:ascii="宋体" w:hAnsi="宋体" w:cs="宋体"/>
          <w:b/>
          <w:bCs/>
          <w:lang w:val="en-US" w:eastAsia="zh-CN"/>
        </w:rPr>
        <w:br w:type="page"/>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cs="宋体"/>
          <w:b/>
          <w:bCs/>
          <w:lang w:val="en-US" w:eastAsia="zh-CN"/>
        </w:rPr>
      </w:pPr>
      <w:r>
        <w:rPr>
          <w:rFonts w:hint="eastAsia" w:ascii="宋体" w:hAnsi="宋体" w:cs="宋体"/>
          <w:b/>
          <w:bCs/>
          <w:lang w:val="en-US" w:eastAsia="zh-CN"/>
        </w:rPr>
        <w:t>表4-7  2023年度治理完成工作量汇总表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830"/>
        <w:gridCol w:w="1260"/>
        <w:gridCol w:w="1230"/>
        <w:gridCol w:w="3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序号</w:t>
            </w:r>
          </w:p>
        </w:tc>
        <w:tc>
          <w:tcPr>
            <w:tcW w:w="18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任务</w:t>
            </w:r>
          </w:p>
        </w:tc>
        <w:tc>
          <w:tcPr>
            <w:tcW w:w="126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计划面积</w:t>
            </w:r>
          </w:p>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（m</w:t>
            </w:r>
            <w:r>
              <w:rPr>
                <w:rFonts w:hint="eastAsia" w:ascii="宋体" w:hAnsi="宋体" w:cs="宋体"/>
                <w:sz w:val="24"/>
                <w:szCs w:val="24"/>
                <w:vertAlign w:val="superscript"/>
                <w:lang w:val="en-US" w:eastAsia="zh-CN"/>
              </w:rPr>
              <w:t>2</w:t>
            </w:r>
            <w:r>
              <w:rPr>
                <w:rFonts w:hint="eastAsia" w:ascii="宋体" w:hAnsi="宋体" w:cs="宋体"/>
                <w:sz w:val="24"/>
                <w:szCs w:val="24"/>
                <w:vertAlign w:val="baseline"/>
                <w:lang w:val="en-US" w:eastAsia="zh-CN"/>
              </w:rPr>
              <w:t>）</w:t>
            </w:r>
          </w:p>
        </w:tc>
        <w:tc>
          <w:tcPr>
            <w:tcW w:w="12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完成面积</w:t>
            </w:r>
          </w:p>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（m</w:t>
            </w:r>
            <w:r>
              <w:rPr>
                <w:rFonts w:hint="eastAsia" w:ascii="宋体" w:hAnsi="宋体" w:cs="宋体"/>
                <w:sz w:val="24"/>
                <w:szCs w:val="24"/>
                <w:vertAlign w:val="superscript"/>
                <w:lang w:val="en-US" w:eastAsia="zh-CN"/>
              </w:rPr>
              <w:t>2</w:t>
            </w:r>
            <w:r>
              <w:rPr>
                <w:rFonts w:hint="eastAsia" w:ascii="宋体" w:hAnsi="宋体" w:cs="宋体"/>
                <w:sz w:val="24"/>
                <w:szCs w:val="24"/>
                <w:vertAlign w:val="baseline"/>
                <w:lang w:val="en-US" w:eastAsia="zh-CN"/>
              </w:rPr>
              <w:t>）</w:t>
            </w:r>
          </w:p>
        </w:tc>
        <w:tc>
          <w:tcPr>
            <w:tcW w:w="3488"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c>
          <w:tcPr>
            <w:tcW w:w="18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rPr>
              <w:t>北外排土场（二期）治理</w:t>
            </w:r>
          </w:p>
        </w:tc>
        <w:tc>
          <w:tcPr>
            <w:tcW w:w="126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rPr>
              <w:t>381327</w:t>
            </w:r>
          </w:p>
        </w:tc>
        <w:tc>
          <w:tcPr>
            <w:tcW w:w="12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rPr>
              <w:t>381327</w:t>
            </w:r>
          </w:p>
        </w:tc>
        <w:tc>
          <w:tcPr>
            <w:tcW w:w="3488"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rPr>
              <w:t>完成削坡工程、排水工程、道路工程、土地复垦绿化工程、灌排工程等全部工程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18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新增内排土场治理</w:t>
            </w:r>
          </w:p>
        </w:tc>
        <w:tc>
          <w:tcPr>
            <w:tcW w:w="126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608871</w:t>
            </w:r>
          </w:p>
        </w:tc>
        <w:tc>
          <w:tcPr>
            <w:tcW w:w="12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highlight w:val="none"/>
                <w:vertAlign w:val="baseline"/>
                <w:lang w:val="en-US" w:eastAsia="zh-CN"/>
              </w:rPr>
            </w:pPr>
            <w:r>
              <w:rPr>
                <w:rFonts w:hint="default" w:ascii="宋体" w:hAnsi="宋体" w:cs="宋体"/>
                <w:sz w:val="24"/>
                <w:szCs w:val="24"/>
                <w:highlight w:val="none"/>
                <w:vertAlign w:val="baseline"/>
                <w:lang w:val="en-US" w:eastAsia="zh-CN"/>
              </w:rPr>
              <w:t>522563</w:t>
            </w:r>
          </w:p>
        </w:tc>
        <w:tc>
          <w:tcPr>
            <w:tcW w:w="3488"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完成覆土、平整、播撒草籽等复垦绿化工作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18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办公生活区美化</w:t>
            </w:r>
          </w:p>
        </w:tc>
        <w:tc>
          <w:tcPr>
            <w:tcW w:w="126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17800</w:t>
            </w:r>
          </w:p>
        </w:tc>
        <w:tc>
          <w:tcPr>
            <w:tcW w:w="12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17800</w:t>
            </w:r>
          </w:p>
        </w:tc>
        <w:tc>
          <w:tcPr>
            <w:tcW w:w="3488"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在办公生活区宿舍楼等区域周围</w:t>
            </w:r>
            <w:r>
              <w:rPr>
                <w:rFonts w:hint="eastAsia" w:ascii="宋体" w:hAnsi="宋体" w:cs="宋体"/>
                <w:sz w:val="24"/>
                <w:szCs w:val="24"/>
                <w:vertAlign w:val="baseline"/>
                <w:lang w:val="en-US" w:eastAsia="zh-CN"/>
              </w:rPr>
              <w:t>美化、</w:t>
            </w:r>
            <w:r>
              <w:rPr>
                <w:rFonts w:hint="default" w:ascii="宋体" w:hAnsi="宋体" w:cs="宋体"/>
                <w:sz w:val="24"/>
                <w:szCs w:val="24"/>
                <w:vertAlign w:val="baseline"/>
                <w:lang w:val="en-US" w:eastAsia="zh-CN"/>
              </w:rPr>
              <w:t>绿化并种植树木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18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对以往治理区植被恢复不佳的区域进行补种及铺设管线、安装喷灌设施</w:t>
            </w:r>
          </w:p>
        </w:tc>
        <w:tc>
          <w:tcPr>
            <w:tcW w:w="126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计划外工程量</w:t>
            </w:r>
          </w:p>
        </w:tc>
        <w:tc>
          <w:tcPr>
            <w:tcW w:w="1230"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195946</w:t>
            </w:r>
          </w:p>
        </w:tc>
        <w:tc>
          <w:tcPr>
            <w:tcW w:w="3488" w:type="dxa"/>
            <w:vAlign w:val="center"/>
          </w:tcPr>
          <w:p>
            <w:pPr>
              <w:pStyle w:val="9"/>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sz w:val="24"/>
                <w:szCs w:val="24"/>
                <w:vertAlign w:val="baseline"/>
                <w:lang w:val="en-US" w:eastAsia="zh-CN"/>
              </w:rPr>
            </w:pPr>
            <w:r>
              <w:rPr>
                <w:rFonts w:hint="default" w:ascii="宋体" w:hAnsi="宋体" w:cs="宋体"/>
                <w:sz w:val="24"/>
                <w:szCs w:val="24"/>
                <w:vertAlign w:val="baseline"/>
                <w:lang w:val="en-US" w:eastAsia="zh-CN"/>
              </w:rPr>
              <w:t>对以往治理区植被恢复不佳的区域进行补种及铺设管线、安装喷灌设施</w:t>
            </w:r>
            <w:r>
              <w:rPr>
                <w:rFonts w:hint="eastAsia" w:ascii="宋体" w:hAnsi="宋体" w:cs="宋体"/>
                <w:sz w:val="24"/>
                <w:szCs w:val="24"/>
                <w:vertAlign w:val="baseline"/>
                <w:lang w:val="en-US" w:eastAsia="zh-CN"/>
              </w:rPr>
              <w:t>，新铺设管线2454m，补种195946m</w:t>
            </w:r>
            <w:r>
              <w:rPr>
                <w:rFonts w:hint="eastAsia" w:ascii="宋体" w:hAnsi="宋体" w:cs="宋体"/>
                <w:sz w:val="24"/>
                <w:szCs w:val="24"/>
                <w:vertAlign w:val="superscript"/>
                <w:lang w:val="en-US" w:eastAsia="zh-CN"/>
              </w:rPr>
              <w:t>2</w:t>
            </w:r>
          </w:p>
        </w:tc>
      </w:tr>
    </w:tbl>
    <w:p>
      <w:pPr>
        <w:pStyle w:val="9"/>
        <w:ind w:firstLine="560"/>
        <w:rPr>
          <w:rFonts w:hint="eastAsia" w:ascii="宋体" w:hAnsi="宋体" w:eastAsia="宋体" w:cs="宋体"/>
        </w:rPr>
      </w:pPr>
      <w:r>
        <w:rPr>
          <w:rFonts w:hint="eastAsia" w:ascii="宋体" w:hAnsi="宋体" w:eastAsia="宋体" w:cs="宋体"/>
        </w:rPr>
        <w:t>2、矿山损毁土地应治尽治情况</w:t>
      </w:r>
    </w:p>
    <w:p>
      <w:pPr>
        <w:pStyle w:val="9"/>
        <w:ind w:firstLine="560"/>
        <w:rPr>
          <w:rFonts w:hint="eastAsia" w:ascii="宋体" w:hAnsi="宋体" w:eastAsia="宋体" w:cs="宋体"/>
        </w:rPr>
      </w:pPr>
      <w:r>
        <w:rPr>
          <w:rFonts w:hint="eastAsia" w:ascii="宋体" w:hAnsi="宋体" w:eastAsia="宋体" w:cs="宋体"/>
        </w:rPr>
        <w:t>矿山以往损毁土地达到治理条件的均已进行治理，并按《方案》要求进行监测与管护，年度内新损毁土地达到治理条件的均已列入下一年度治理计划。</w:t>
      </w:r>
    </w:p>
    <w:p>
      <w:pPr>
        <w:pStyle w:val="9"/>
        <w:ind w:firstLine="560"/>
        <w:rPr>
          <w:rFonts w:hint="eastAsia" w:ascii="宋体" w:hAnsi="宋体" w:eastAsia="宋体" w:cs="宋体"/>
        </w:rPr>
      </w:pPr>
      <w:r>
        <w:rPr>
          <w:rFonts w:hint="eastAsia" w:ascii="宋体" w:hAnsi="宋体" w:eastAsia="宋体" w:cs="宋体"/>
        </w:rPr>
        <w:t>3、存在的问题</w:t>
      </w:r>
    </w:p>
    <w:p>
      <w:pPr>
        <w:ind w:firstLine="560"/>
        <w:rPr>
          <w:rFonts w:hint="eastAsia" w:ascii="宋体" w:hAnsi="宋体" w:eastAsia="宋体" w:cs="宋体"/>
        </w:rPr>
      </w:pPr>
      <w:r>
        <w:rPr>
          <w:rFonts w:hint="eastAsia" w:ascii="宋体" w:hAnsi="宋体" w:eastAsia="宋体" w:cs="宋体"/>
        </w:rPr>
        <w:t>（1）本区较干旱，全年降雨较少，水资源较匮乏。</w:t>
      </w:r>
    </w:p>
    <w:p>
      <w:pPr>
        <w:ind w:firstLine="560"/>
        <w:rPr>
          <w:rFonts w:hint="eastAsia" w:ascii="宋体" w:hAnsi="宋体" w:eastAsia="宋体" w:cs="宋体"/>
        </w:rPr>
      </w:pPr>
      <w:r>
        <w:rPr>
          <w:rFonts w:hint="eastAsia" w:ascii="宋体" w:hAnsi="宋体" w:eastAsia="宋体" w:cs="宋体"/>
        </w:rPr>
        <w:t>（2）因气候因素影响，已复垦区域植被成活率较低，需经多次养护才能保证其成活率，管护成本较高。</w:t>
      </w:r>
    </w:p>
    <w:p>
      <w:pPr>
        <w:pStyle w:val="9"/>
        <w:ind w:firstLine="560"/>
        <w:rPr>
          <w:rFonts w:hint="eastAsia" w:ascii="宋体" w:hAnsi="宋体" w:eastAsia="宋体" w:cs="宋体"/>
        </w:rPr>
      </w:pPr>
      <w:r>
        <w:rPr>
          <w:rFonts w:hint="eastAsia" w:ascii="宋体" w:hAnsi="宋体" w:eastAsia="宋体" w:cs="宋体"/>
        </w:rPr>
        <w:t>（3）矿区内安全挡墙作为运输设备的安全构筑设施，需频繁修整、维护、拆除、延伸，不具备复垦绿化条件。</w:t>
      </w:r>
    </w:p>
    <w:p>
      <w:pPr>
        <w:pStyle w:val="9"/>
        <w:ind w:firstLine="560"/>
        <w:rPr>
          <w:rFonts w:hint="eastAsia" w:ascii="宋体" w:hAnsi="宋体" w:eastAsia="宋体" w:cs="宋体"/>
        </w:rPr>
      </w:pPr>
      <w:r>
        <w:rPr>
          <w:rFonts w:hint="eastAsia" w:ascii="宋体" w:hAnsi="宋体" w:eastAsia="宋体" w:cs="宋体"/>
        </w:rPr>
        <w:t>（四）以往地质环境治理及土地复垦验收工作及还地情况</w:t>
      </w:r>
    </w:p>
    <w:p>
      <w:pPr>
        <w:pStyle w:val="9"/>
        <w:ind w:firstLine="560"/>
        <w:rPr>
          <w:rFonts w:hint="eastAsia" w:ascii="宋体" w:hAnsi="宋体" w:eastAsia="宋体" w:cs="宋体"/>
        </w:rPr>
      </w:pPr>
      <w:r>
        <w:rPr>
          <w:rFonts w:hint="eastAsia" w:ascii="宋体" w:hAnsi="宋体" w:eastAsia="宋体" w:cs="宋体"/>
        </w:rPr>
        <w:t>以往矿山未</w:t>
      </w:r>
      <w:r>
        <w:rPr>
          <w:rFonts w:hint="eastAsia" w:ascii="宋体" w:hAnsi="宋体" w:cs="宋体"/>
          <w:lang w:val="en-US" w:eastAsia="zh-CN"/>
        </w:rPr>
        <w:t>开</w:t>
      </w:r>
      <w:r>
        <w:rPr>
          <w:rFonts w:hint="eastAsia" w:ascii="宋体" w:hAnsi="宋体" w:eastAsia="宋体" w:cs="宋体"/>
        </w:rPr>
        <w:t>展地质环境治理及土地复垦验收工作及还地工作。</w:t>
      </w:r>
    </w:p>
    <w:p>
      <w:pPr>
        <w:pStyle w:val="9"/>
        <w:ind w:firstLine="560"/>
        <w:rPr>
          <w:rFonts w:hint="eastAsia" w:ascii="宋体" w:hAnsi="宋体" w:eastAsia="宋体" w:cs="宋体"/>
          <w:lang w:eastAsia="zh-CN"/>
        </w:rPr>
      </w:pPr>
      <w:r>
        <w:rPr>
          <w:rFonts w:hint="eastAsia" w:ascii="宋体" w:hAnsi="宋体" w:cs="宋体"/>
          <w:lang w:eastAsia="zh-CN"/>
        </w:rPr>
        <w:t>（五）涉草保供露天开采煤矿生态修复核查治理情况</w:t>
      </w:r>
    </w:p>
    <w:p>
      <w:pPr>
        <w:pStyle w:val="9"/>
        <w:ind w:firstLine="560"/>
        <w:rPr>
          <w:rFonts w:hint="eastAsia" w:ascii="宋体" w:hAnsi="宋体" w:eastAsia="宋体" w:cs="宋体"/>
        </w:rPr>
      </w:pPr>
      <w:r>
        <w:rPr>
          <w:rFonts w:hint="eastAsia" w:ascii="宋体" w:hAnsi="宋体" w:eastAsia="宋体" w:cs="宋体"/>
        </w:rPr>
        <w:t>2023年11月6日，自然资源部国土空间生态修复司印发《自然资源部国土空间生态修复司关于转送涉草保供露天开采煤矿生态修复核查情况的函》，依据附件：涉草露天开采保供煤矿生态修复核查情况表，评定</w:t>
      </w:r>
      <w:r>
        <w:rPr>
          <w:rFonts w:hint="eastAsia" w:ascii="宋体" w:hAnsi="宋体" w:cs="宋体"/>
          <w:lang w:eastAsia="zh-CN"/>
        </w:rPr>
        <w:t>芒来煤矿</w:t>
      </w:r>
      <w:r>
        <w:rPr>
          <w:rFonts w:hint="eastAsia" w:ascii="宋体" w:hAnsi="宋体" w:eastAsia="宋体" w:cs="宋体"/>
        </w:rPr>
        <w:t>修复等级为差。</w:t>
      </w:r>
    </w:p>
    <w:p>
      <w:pPr>
        <w:pStyle w:val="9"/>
        <w:ind w:firstLine="560"/>
        <w:rPr>
          <w:rFonts w:hint="eastAsia" w:ascii="宋体" w:hAnsi="宋体" w:eastAsia="宋体" w:cs="宋体"/>
        </w:rPr>
      </w:pPr>
      <w:r>
        <w:rPr>
          <w:rFonts w:hint="eastAsia" w:ascii="宋体" w:hAnsi="宋体" w:eastAsia="宋体" w:cs="宋体"/>
        </w:rPr>
        <w:t>涉草露天开采保供煤矿生态修复核查范围面积为11874.8亩，在此范围内，芒来煤矿积极开展生态修复工作，</w:t>
      </w:r>
      <w:r>
        <w:rPr>
          <w:rFonts w:hint="eastAsia" w:ascii="宋体" w:hAnsi="宋体" w:cs="宋体"/>
          <w:lang w:eastAsia="zh-CN"/>
        </w:rPr>
        <w:t>截至</w:t>
      </w:r>
      <w:r>
        <w:rPr>
          <w:rFonts w:hint="eastAsia" w:ascii="宋体" w:hAnsi="宋体" w:eastAsia="宋体" w:cs="宋体"/>
        </w:rPr>
        <w:t>2023年年底，已开展生态修复面积6751亩。</w:t>
      </w:r>
    </w:p>
    <w:p>
      <w:pPr>
        <w:pStyle w:val="9"/>
        <w:ind w:firstLine="560"/>
        <w:rPr>
          <w:rFonts w:hint="default" w:ascii="宋体" w:hAnsi="宋体" w:eastAsia="宋体" w:cs="宋体"/>
          <w:lang w:val="en-US" w:eastAsia="zh-CN"/>
        </w:rPr>
      </w:pPr>
      <w:r>
        <w:rPr>
          <w:rFonts w:hint="eastAsia" w:ascii="宋体" w:hAnsi="宋体" w:cs="宋体"/>
          <w:lang w:eastAsia="zh-CN"/>
        </w:rPr>
        <w:t>为进一步提高芒来煤矿生态修复成果，特制定两年（</w:t>
      </w:r>
      <w:r>
        <w:rPr>
          <w:rFonts w:hint="eastAsia" w:ascii="宋体" w:hAnsi="宋体" w:cs="宋体"/>
          <w:lang w:val="en-US" w:eastAsia="zh-CN"/>
        </w:rPr>
        <w:t>2024年、2025年</w:t>
      </w:r>
      <w:r>
        <w:rPr>
          <w:rFonts w:hint="eastAsia" w:ascii="宋体" w:hAnsi="宋体" w:cs="宋体"/>
          <w:lang w:eastAsia="zh-CN"/>
        </w:rPr>
        <w:t>）</w:t>
      </w:r>
      <w:r>
        <w:rPr>
          <w:rFonts w:hint="eastAsia" w:ascii="宋体" w:hAnsi="宋体" w:cs="宋体"/>
          <w:lang w:val="en-US" w:eastAsia="zh-CN"/>
        </w:rPr>
        <w:t>修复与</w:t>
      </w:r>
      <w:r>
        <w:rPr>
          <w:rFonts w:hint="eastAsia" w:ascii="宋体" w:hAnsi="宋体" w:cs="宋体"/>
          <w:lang w:eastAsia="zh-CN"/>
        </w:rPr>
        <w:t>治理规划，</w:t>
      </w:r>
      <w:r>
        <w:rPr>
          <w:rFonts w:hint="eastAsia" w:ascii="宋体" w:hAnsi="宋体" w:eastAsia="宋体" w:cs="宋体"/>
        </w:rPr>
        <w:t>计划截至2025年年底生态修复</w:t>
      </w:r>
      <w:r>
        <w:rPr>
          <w:rFonts w:hint="eastAsia" w:ascii="宋体" w:hAnsi="宋体" w:cs="宋体"/>
          <w:lang w:val="en-US" w:eastAsia="zh-CN"/>
        </w:rPr>
        <w:t>达标</w:t>
      </w:r>
      <w:r>
        <w:rPr>
          <w:rFonts w:hint="eastAsia" w:ascii="宋体" w:hAnsi="宋体" w:eastAsia="宋体" w:cs="宋体"/>
        </w:rPr>
        <w:t>面积4965亩，修复比例为41.8%，目标修复等级为良</w:t>
      </w:r>
      <w:r>
        <w:rPr>
          <w:rFonts w:hint="eastAsia" w:ascii="宋体" w:hAnsi="宋体" w:cs="宋体"/>
          <w:lang w:eastAsia="zh-CN"/>
        </w:rPr>
        <w:t>，具体工作部署详见附图</w:t>
      </w:r>
      <w:r>
        <w:rPr>
          <w:rFonts w:hint="eastAsia" w:ascii="宋体" w:hAnsi="宋体" w:cs="宋体"/>
          <w:lang w:val="en-US" w:eastAsia="zh-CN"/>
        </w:rPr>
        <w:t>2。</w:t>
      </w:r>
    </w:p>
    <w:p>
      <w:pPr>
        <w:pStyle w:val="9"/>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表</w:t>
      </w:r>
      <w:r>
        <w:rPr>
          <w:rFonts w:hint="eastAsia" w:ascii="宋体" w:hAnsi="宋体" w:cs="宋体"/>
          <w:b/>
          <w:bCs/>
          <w:lang w:val="en-US" w:eastAsia="zh-CN"/>
        </w:rPr>
        <w:t xml:space="preserve">4-8  </w:t>
      </w:r>
      <w:r>
        <w:rPr>
          <w:rFonts w:hint="eastAsia" w:ascii="宋体" w:hAnsi="宋体" w:eastAsia="宋体" w:cs="宋体"/>
          <w:b/>
          <w:bCs/>
        </w:rPr>
        <w:t>芒来煤矿</w:t>
      </w:r>
      <w:r>
        <w:rPr>
          <w:rFonts w:hint="eastAsia" w:ascii="宋体" w:hAnsi="宋体" w:cs="宋体"/>
          <w:b/>
          <w:bCs/>
          <w:lang w:val="en-US" w:eastAsia="zh-CN"/>
        </w:rPr>
        <w:t>2024、2025年度</w:t>
      </w:r>
      <w:r>
        <w:rPr>
          <w:rFonts w:hint="eastAsia" w:ascii="宋体" w:hAnsi="宋体" w:cs="宋体"/>
          <w:b/>
          <w:bCs/>
          <w:lang w:eastAsia="zh-CN"/>
        </w:rPr>
        <w:t>计划</w:t>
      </w:r>
      <w:r>
        <w:rPr>
          <w:rFonts w:hint="eastAsia" w:ascii="宋体" w:hAnsi="宋体" w:eastAsia="宋体" w:cs="宋体"/>
          <w:b/>
          <w:bCs/>
        </w:rPr>
        <w:t>生态修复</w:t>
      </w:r>
      <w:r>
        <w:rPr>
          <w:rFonts w:hint="eastAsia" w:ascii="宋体" w:hAnsi="宋体" w:cs="宋体"/>
          <w:b/>
          <w:bCs/>
          <w:lang w:eastAsia="zh-CN"/>
        </w:rPr>
        <w:t>任务</w:t>
      </w:r>
      <w:r>
        <w:rPr>
          <w:rFonts w:hint="eastAsia" w:ascii="宋体" w:hAnsi="宋体" w:eastAsia="宋体" w:cs="宋体"/>
          <w:b/>
          <w:bCs/>
        </w:rPr>
        <w:t>表</w:t>
      </w:r>
    </w:p>
    <w:tbl>
      <w:tblPr>
        <w:tblStyle w:val="17"/>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402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0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年度</w:t>
            </w: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治理任务</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计划治理面积</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2024年</w:t>
            </w: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北外排土场复垦</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内外排土场以往治理区域进行局部播撒草籽，养护。</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u w:val="none"/>
                <w:lang w:val="en-US" w:eastAsia="zh-CN" w:bidi="ar-SA"/>
              </w:rPr>
            </w:pPr>
            <w:r>
              <w:rPr>
                <w:rFonts w:hint="default" w:ascii="宋体" w:hAnsi="宋体" w:cs="宋体"/>
                <w:kern w:val="2"/>
                <w:sz w:val="24"/>
                <w:szCs w:val="24"/>
                <w:u w:val="none"/>
                <w:lang w:val="en-US" w:eastAsia="zh-CN" w:bidi="ar-SA"/>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2025年</w:t>
            </w: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芒来煤矿内排土场及周边以往复垦区域平整、补种草籽、养护。</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芒来煤矿内排土场新增区域复垦绿化。</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芒来煤矿内排土场以往复垦区域平整、补种草籽、养护。</w:t>
            </w: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0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合计</w:t>
            </w:r>
          </w:p>
        </w:tc>
        <w:tc>
          <w:tcPr>
            <w:tcW w:w="2370"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p>
        </w:tc>
        <w:tc>
          <w:tcPr>
            <w:tcW w:w="1419" w:type="pc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u w:val="none"/>
                <w:lang w:val="en-US" w:eastAsia="zh-CN" w:bidi="ar-SA"/>
              </w:rPr>
            </w:pPr>
            <w:r>
              <w:rPr>
                <w:rFonts w:hint="eastAsia" w:ascii="宋体" w:hAnsi="宋体" w:eastAsia="宋体" w:cs="宋体"/>
                <w:kern w:val="2"/>
                <w:sz w:val="24"/>
                <w:szCs w:val="24"/>
                <w:u w:val="none"/>
                <w:lang w:val="en-US" w:eastAsia="zh-CN" w:bidi="ar-SA"/>
              </w:rPr>
              <w:t>4965</w:t>
            </w:r>
          </w:p>
        </w:tc>
      </w:tr>
    </w:tbl>
    <w:p>
      <w:pPr>
        <w:pStyle w:val="9"/>
        <w:ind w:firstLine="560"/>
        <w:rPr>
          <w:rFonts w:hint="default" w:ascii="宋体" w:hAnsi="宋体" w:eastAsia="宋体" w:cs="宋体"/>
          <w:lang w:val="en-US" w:eastAsia="zh-CN"/>
        </w:rPr>
      </w:pPr>
      <w:r>
        <w:rPr>
          <w:rFonts w:hint="eastAsia" w:ascii="宋体" w:hAnsi="宋体" w:cs="宋体"/>
          <w:lang w:eastAsia="zh-CN"/>
        </w:rPr>
        <w:t>注：</w:t>
      </w:r>
      <w:r>
        <w:rPr>
          <w:rFonts w:hint="eastAsia" w:ascii="宋体" w:hAnsi="宋体" w:cs="宋体"/>
          <w:lang w:val="en-US" w:eastAsia="zh-CN"/>
        </w:rPr>
        <w:t>2024年生态修复任务已含盖于2024年度矿山地质环境治理与土地复垦计划中。</w:t>
      </w:r>
    </w:p>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pStyle w:val="2"/>
        <w:ind w:firstLine="0" w:firstLineChars="0"/>
        <w:rPr>
          <w:rFonts w:hint="eastAsia" w:ascii="宋体" w:hAnsi="宋体" w:eastAsia="宋体" w:cs="宋体"/>
        </w:rPr>
      </w:pPr>
      <w:bookmarkStart w:id="15" w:name="_Toc5546"/>
      <w:r>
        <w:rPr>
          <w:rFonts w:hint="eastAsia" w:ascii="宋体" w:hAnsi="宋体" w:eastAsia="宋体" w:cs="宋体"/>
        </w:rPr>
        <w:t>第五章  《方案》治理工作部署</w:t>
      </w:r>
      <w:bookmarkEnd w:id="15"/>
    </w:p>
    <w:p>
      <w:pPr>
        <w:ind w:firstLine="560"/>
        <w:rPr>
          <w:rFonts w:hint="eastAsia" w:ascii="宋体" w:hAnsi="宋体" w:eastAsia="宋体" w:cs="宋体"/>
        </w:rPr>
      </w:pPr>
      <w:r>
        <w:rPr>
          <w:rFonts w:hint="eastAsia" w:ascii="宋体" w:hAnsi="宋体" w:eastAsia="宋体" w:cs="宋体"/>
        </w:rPr>
        <w:t>根据矿山开发利用方案、矿山生产能力、储量分布情况和矿山服务年限，按照轻重缓急、分阶段实施的原则，将地质环境治理与土地复垦工作划分为2个阶段：近期（方案适用期5年，即2022年11月-2027年10月）；中远期（2027年11月至2049年10月）。近期各年度具体工作安排情况如下：</w:t>
      </w:r>
    </w:p>
    <w:p>
      <w:pPr>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6" w:name="_Toc19008"/>
      <w:r>
        <w:rPr>
          <w:rFonts w:hint="eastAsia" w:ascii="宋体" w:hAnsi="宋体" w:eastAsia="宋体" w:cs="宋体"/>
          <w:b/>
          <w:bCs/>
        </w:rPr>
        <w:t>一、地质环境治理工作</w:t>
      </w:r>
      <w:bookmarkEnd w:id="16"/>
    </w:p>
    <w:p>
      <w:pPr>
        <w:ind w:firstLine="560"/>
        <w:rPr>
          <w:rFonts w:hint="eastAsia" w:ascii="宋体" w:hAnsi="宋体" w:eastAsia="宋体" w:cs="宋体"/>
        </w:rPr>
      </w:pPr>
      <w:r>
        <w:rPr>
          <w:rFonts w:hint="eastAsia" w:ascii="宋体" w:hAnsi="宋体" w:eastAsia="宋体" w:cs="宋体"/>
        </w:rPr>
        <w:t>（一）2022年11月～2023年10月</w:t>
      </w:r>
    </w:p>
    <w:p>
      <w:pPr>
        <w:ind w:firstLine="560"/>
        <w:rPr>
          <w:rFonts w:hint="eastAsia" w:ascii="宋体" w:hAnsi="宋体" w:eastAsia="宋体" w:cs="宋体"/>
          <w:bCs/>
        </w:rPr>
      </w:pPr>
      <w:r>
        <w:rPr>
          <w:rFonts w:hint="eastAsia" w:ascii="宋体" w:hAnsi="宋体" w:eastAsia="宋体" w:cs="宋体"/>
          <w:bCs/>
        </w:rPr>
        <w:t>1、沿现状采掘场和内排土场边坡边界设置警示标牌，挂围栏网；</w:t>
      </w:r>
    </w:p>
    <w:p>
      <w:pPr>
        <w:ind w:firstLine="560"/>
        <w:rPr>
          <w:rFonts w:hint="eastAsia" w:ascii="宋体" w:hAnsi="宋体" w:eastAsia="宋体" w:cs="宋体"/>
          <w:bCs/>
        </w:rPr>
      </w:pPr>
      <w:r>
        <w:rPr>
          <w:rFonts w:hint="eastAsia" w:ascii="宋体" w:hAnsi="宋体" w:eastAsia="宋体" w:cs="宋体"/>
          <w:bCs/>
        </w:rPr>
        <w:t>2、对北外排土场边坡进行整形；</w:t>
      </w:r>
    </w:p>
    <w:p>
      <w:pPr>
        <w:ind w:firstLine="560"/>
        <w:rPr>
          <w:rFonts w:hint="eastAsia" w:ascii="宋体" w:hAnsi="宋体" w:eastAsia="宋体" w:cs="宋体"/>
          <w:bCs/>
        </w:rPr>
      </w:pPr>
      <w:r>
        <w:rPr>
          <w:rFonts w:hint="eastAsia" w:ascii="宋体" w:hAnsi="宋体" w:eastAsia="宋体" w:cs="宋体"/>
          <w:bCs/>
        </w:rPr>
        <w:t>3、地质灾害进行监测；</w:t>
      </w:r>
    </w:p>
    <w:p>
      <w:pPr>
        <w:ind w:firstLine="560"/>
        <w:rPr>
          <w:rFonts w:hint="eastAsia" w:ascii="宋体" w:hAnsi="宋体" w:eastAsia="宋体" w:cs="宋体"/>
          <w:bCs/>
        </w:rPr>
      </w:pPr>
      <w:r>
        <w:rPr>
          <w:rFonts w:hint="eastAsia" w:ascii="宋体" w:hAnsi="宋体" w:eastAsia="宋体" w:cs="宋体"/>
          <w:bCs/>
        </w:rPr>
        <w:t>4、地表水进行破坏监测；</w:t>
      </w:r>
    </w:p>
    <w:p>
      <w:pPr>
        <w:ind w:firstLine="560"/>
        <w:rPr>
          <w:rFonts w:hint="eastAsia" w:ascii="宋体" w:hAnsi="宋体" w:eastAsia="宋体" w:cs="宋体"/>
          <w:bCs/>
        </w:rPr>
      </w:pPr>
      <w:r>
        <w:rPr>
          <w:rFonts w:hint="eastAsia" w:ascii="宋体" w:hAnsi="宋体" w:eastAsia="宋体" w:cs="宋体"/>
          <w:bCs/>
        </w:rPr>
        <w:t>5、地形地貌景观进行破坏监测；</w:t>
      </w:r>
    </w:p>
    <w:p>
      <w:pPr>
        <w:ind w:firstLine="560"/>
        <w:rPr>
          <w:rFonts w:hint="eastAsia" w:ascii="宋体" w:hAnsi="宋体" w:eastAsia="宋体" w:cs="宋体"/>
          <w:bCs/>
        </w:rPr>
      </w:pPr>
      <w:r>
        <w:rPr>
          <w:rFonts w:hint="eastAsia" w:ascii="宋体" w:hAnsi="宋体" w:eastAsia="宋体" w:cs="宋体"/>
          <w:bCs/>
        </w:rPr>
        <w:t>6、水土环境污染进行破坏监测；</w:t>
      </w:r>
    </w:p>
    <w:p>
      <w:pPr>
        <w:ind w:firstLine="560"/>
        <w:rPr>
          <w:rFonts w:hint="eastAsia" w:ascii="宋体" w:hAnsi="宋体" w:eastAsia="宋体" w:cs="宋体"/>
          <w:bCs/>
        </w:rPr>
      </w:pPr>
      <w:r>
        <w:rPr>
          <w:rFonts w:hint="eastAsia" w:ascii="宋体" w:hAnsi="宋体" w:eastAsia="宋体" w:cs="宋体"/>
          <w:bCs/>
        </w:rPr>
        <w:t>7、明确巡查小组人员，对矿山地质环境进行人工巡查。</w:t>
      </w:r>
    </w:p>
    <w:p>
      <w:pPr>
        <w:ind w:firstLine="560"/>
        <w:rPr>
          <w:rFonts w:hint="eastAsia" w:ascii="宋体" w:hAnsi="宋体" w:eastAsia="宋体" w:cs="宋体"/>
        </w:rPr>
      </w:pPr>
      <w:r>
        <w:rPr>
          <w:rFonts w:hint="eastAsia" w:ascii="宋体" w:hAnsi="宋体" w:eastAsia="宋体" w:cs="宋体"/>
        </w:rPr>
        <w:t>（二）2023年11月～2024年10月</w:t>
      </w:r>
    </w:p>
    <w:p>
      <w:pPr>
        <w:ind w:firstLine="560"/>
        <w:rPr>
          <w:rFonts w:hint="eastAsia" w:ascii="宋体" w:hAnsi="宋体" w:eastAsia="宋体" w:cs="宋体"/>
          <w:bCs/>
        </w:rPr>
      </w:pPr>
      <w:r>
        <w:rPr>
          <w:rFonts w:hint="eastAsia" w:ascii="宋体" w:hAnsi="宋体" w:eastAsia="宋体" w:cs="宋体"/>
          <w:bCs/>
        </w:rPr>
        <w:t>1、沿现状采掘场和内排土场边坡边界设置警示标牌，挂围栏网；</w:t>
      </w:r>
    </w:p>
    <w:p>
      <w:pPr>
        <w:ind w:firstLine="560"/>
        <w:rPr>
          <w:rFonts w:hint="eastAsia" w:ascii="宋体" w:hAnsi="宋体" w:eastAsia="宋体" w:cs="宋体"/>
          <w:bCs/>
        </w:rPr>
      </w:pPr>
      <w:r>
        <w:rPr>
          <w:rFonts w:hint="eastAsia" w:ascii="宋体" w:hAnsi="宋体" w:eastAsia="宋体" w:cs="宋体"/>
          <w:bCs/>
        </w:rPr>
        <w:t>2、对北外排土场边坡进行整形、削坡，削坡后边坡坡度</w:t>
      </w:r>
      <w:r>
        <w:rPr>
          <w:rFonts w:hint="eastAsia" w:ascii="宋体" w:hAnsi="宋体" w:cs="宋体"/>
          <w:bCs/>
          <w:lang w:eastAsia="zh-CN"/>
        </w:rPr>
        <w:t>不大</w:t>
      </w:r>
      <w:r>
        <w:rPr>
          <w:rFonts w:hint="eastAsia" w:ascii="宋体" w:hAnsi="宋体" w:eastAsia="宋体" w:cs="宋体"/>
          <w:bCs/>
        </w:rPr>
        <w:t>于25°；</w:t>
      </w:r>
    </w:p>
    <w:p>
      <w:pPr>
        <w:ind w:firstLine="560"/>
        <w:rPr>
          <w:rFonts w:hint="eastAsia" w:ascii="宋体" w:hAnsi="宋体" w:eastAsia="宋体" w:cs="宋体"/>
          <w:bCs/>
        </w:rPr>
      </w:pPr>
      <w:r>
        <w:rPr>
          <w:rFonts w:hint="eastAsia" w:ascii="宋体" w:hAnsi="宋体" w:eastAsia="宋体" w:cs="宋体"/>
          <w:bCs/>
        </w:rPr>
        <w:t>3、地质灾害进行监测；</w:t>
      </w:r>
    </w:p>
    <w:p>
      <w:pPr>
        <w:ind w:firstLine="560"/>
        <w:rPr>
          <w:rFonts w:hint="eastAsia" w:ascii="宋体" w:hAnsi="宋体" w:eastAsia="宋体" w:cs="宋体"/>
          <w:bCs/>
        </w:rPr>
      </w:pPr>
      <w:r>
        <w:rPr>
          <w:rFonts w:hint="eastAsia" w:ascii="宋体" w:hAnsi="宋体" w:eastAsia="宋体" w:cs="宋体"/>
          <w:bCs/>
        </w:rPr>
        <w:t>4、地表水进行破坏监测；</w:t>
      </w:r>
    </w:p>
    <w:p>
      <w:pPr>
        <w:ind w:firstLine="560"/>
        <w:rPr>
          <w:rFonts w:hint="eastAsia" w:ascii="宋体" w:hAnsi="宋体" w:eastAsia="宋体" w:cs="宋体"/>
          <w:bCs/>
        </w:rPr>
      </w:pPr>
      <w:r>
        <w:rPr>
          <w:rFonts w:hint="eastAsia" w:ascii="宋体" w:hAnsi="宋体" w:eastAsia="宋体" w:cs="宋体"/>
          <w:bCs/>
        </w:rPr>
        <w:t>5、地形地貌景观进行破坏监测；</w:t>
      </w:r>
    </w:p>
    <w:p>
      <w:pPr>
        <w:ind w:firstLine="560"/>
        <w:rPr>
          <w:rFonts w:hint="eastAsia" w:ascii="宋体" w:hAnsi="宋体" w:eastAsia="宋体" w:cs="宋体"/>
          <w:bCs/>
        </w:rPr>
      </w:pPr>
      <w:r>
        <w:rPr>
          <w:rFonts w:hint="eastAsia" w:ascii="宋体" w:hAnsi="宋体" w:eastAsia="宋体" w:cs="宋体"/>
          <w:bCs/>
        </w:rPr>
        <w:t>6、水土环境污染进行破坏监测；</w:t>
      </w:r>
    </w:p>
    <w:p>
      <w:pPr>
        <w:ind w:firstLine="560"/>
        <w:rPr>
          <w:rFonts w:hint="eastAsia" w:ascii="宋体" w:hAnsi="宋体" w:eastAsia="宋体" w:cs="宋体"/>
          <w:bCs/>
        </w:rPr>
      </w:pPr>
      <w:r>
        <w:rPr>
          <w:rFonts w:hint="eastAsia" w:ascii="宋体" w:hAnsi="宋体" w:eastAsia="宋体" w:cs="宋体"/>
          <w:bCs/>
        </w:rPr>
        <w:t>7、明确巡查小组人员，对矿山地质环境进行人工巡查。</w:t>
      </w:r>
    </w:p>
    <w:p>
      <w:pPr>
        <w:ind w:firstLine="560"/>
        <w:rPr>
          <w:rFonts w:hint="eastAsia" w:ascii="宋体" w:hAnsi="宋体" w:eastAsia="宋体" w:cs="宋体"/>
        </w:rPr>
      </w:pPr>
      <w:r>
        <w:rPr>
          <w:rFonts w:hint="eastAsia" w:ascii="宋体" w:hAnsi="宋体" w:eastAsia="宋体" w:cs="宋体"/>
        </w:rPr>
        <w:t>（三）2024年11月～2025年10月</w:t>
      </w:r>
    </w:p>
    <w:p>
      <w:pPr>
        <w:ind w:firstLine="560"/>
        <w:rPr>
          <w:rFonts w:hint="eastAsia" w:ascii="宋体" w:hAnsi="宋体" w:eastAsia="宋体" w:cs="宋体"/>
        </w:rPr>
      </w:pPr>
      <w:r>
        <w:rPr>
          <w:rFonts w:hint="eastAsia" w:ascii="宋体" w:hAnsi="宋体" w:eastAsia="宋体" w:cs="宋体"/>
        </w:rPr>
        <w:t>1、沿现状采掘场和内排土场边坡边界设置警示标牌，挂围栏网；</w:t>
      </w:r>
    </w:p>
    <w:p>
      <w:pPr>
        <w:ind w:firstLine="560"/>
        <w:rPr>
          <w:rFonts w:hint="eastAsia" w:ascii="宋体" w:hAnsi="宋体" w:eastAsia="宋体" w:cs="宋体"/>
        </w:rPr>
      </w:pPr>
      <w:r>
        <w:rPr>
          <w:rFonts w:hint="eastAsia" w:ascii="宋体" w:hAnsi="宋体" w:eastAsia="宋体" w:cs="宋体"/>
        </w:rPr>
        <w:t>2、对北外排土场边坡进行削坡，削坡后边坡坡度</w:t>
      </w:r>
      <w:r>
        <w:rPr>
          <w:rFonts w:hint="eastAsia" w:ascii="宋体" w:hAnsi="宋体" w:eastAsia="宋体" w:cs="宋体"/>
          <w:lang w:eastAsia="zh-CN"/>
        </w:rPr>
        <w:t>不大</w:t>
      </w:r>
      <w:r>
        <w:rPr>
          <w:rFonts w:hint="eastAsia" w:ascii="宋体" w:hAnsi="宋体" w:eastAsia="宋体" w:cs="宋体"/>
        </w:rPr>
        <w:t>于25°；</w:t>
      </w:r>
    </w:p>
    <w:p>
      <w:pPr>
        <w:ind w:firstLine="560"/>
        <w:rPr>
          <w:rFonts w:hint="eastAsia" w:ascii="宋体" w:hAnsi="宋体" w:eastAsia="宋体" w:cs="宋体"/>
        </w:rPr>
      </w:pPr>
      <w:r>
        <w:rPr>
          <w:rFonts w:hint="eastAsia" w:ascii="宋体" w:hAnsi="宋体" w:eastAsia="宋体" w:cs="宋体"/>
        </w:rPr>
        <w:t>3、地质灾害进行监测；</w:t>
      </w:r>
    </w:p>
    <w:p>
      <w:pPr>
        <w:ind w:firstLine="560"/>
        <w:rPr>
          <w:rFonts w:hint="eastAsia" w:ascii="宋体" w:hAnsi="宋体" w:eastAsia="宋体" w:cs="宋体"/>
        </w:rPr>
      </w:pPr>
      <w:r>
        <w:rPr>
          <w:rFonts w:hint="eastAsia" w:ascii="宋体" w:hAnsi="宋体" w:eastAsia="宋体" w:cs="宋体"/>
        </w:rPr>
        <w:t>4、地表水进行破坏监测；</w:t>
      </w:r>
    </w:p>
    <w:p>
      <w:pPr>
        <w:ind w:firstLine="560"/>
        <w:rPr>
          <w:rFonts w:hint="eastAsia" w:ascii="宋体" w:hAnsi="宋体" w:eastAsia="宋体" w:cs="宋体"/>
        </w:rPr>
      </w:pPr>
      <w:r>
        <w:rPr>
          <w:rFonts w:hint="eastAsia" w:ascii="宋体" w:hAnsi="宋体" w:eastAsia="宋体" w:cs="宋体"/>
        </w:rPr>
        <w:t>5、地形地貌景观进行破坏监测；</w:t>
      </w:r>
    </w:p>
    <w:p>
      <w:pPr>
        <w:ind w:firstLine="560"/>
        <w:rPr>
          <w:rFonts w:hint="eastAsia" w:ascii="宋体" w:hAnsi="宋体" w:eastAsia="宋体" w:cs="宋体"/>
        </w:rPr>
      </w:pPr>
      <w:r>
        <w:rPr>
          <w:rFonts w:hint="eastAsia" w:ascii="宋体" w:hAnsi="宋体" w:eastAsia="宋体" w:cs="宋体"/>
        </w:rPr>
        <w:t>6、水土环境污染进行破坏监测；</w:t>
      </w:r>
    </w:p>
    <w:p>
      <w:pPr>
        <w:ind w:firstLine="560"/>
        <w:rPr>
          <w:rFonts w:hint="eastAsia" w:ascii="宋体" w:hAnsi="宋体" w:eastAsia="宋体" w:cs="宋体"/>
        </w:rPr>
      </w:pPr>
      <w:r>
        <w:rPr>
          <w:rFonts w:hint="eastAsia" w:ascii="宋体" w:hAnsi="宋体" w:eastAsia="宋体" w:cs="宋体"/>
        </w:rPr>
        <w:t>7、明确巡查小组人员，对矿山地质环境进行人工巡查。</w:t>
      </w:r>
    </w:p>
    <w:p>
      <w:pPr>
        <w:ind w:firstLine="560"/>
        <w:rPr>
          <w:rFonts w:hint="eastAsia" w:ascii="宋体" w:hAnsi="宋体" w:eastAsia="宋体" w:cs="宋体"/>
        </w:rPr>
      </w:pPr>
      <w:r>
        <w:rPr>
          <w:rFonts w:hint="eastAsia" w:ascii="宋体" w:hAnsi="宋体" w:eastAsia="宋体" w:cs="宋体"/>
        </w:rPr>
        <w:t>（四）2025年11月～2026年10月</w:t>
      </w:r>
    </w:p>
    <w:p>
      <w:pPr>
        <w:ind w:firstLine="560"/>
        <w:rPr>
          <w:rFonts w:hint="eastAsia" w:ascii="宋体" w:hAnsi="宋体" w:eastAsia="宋体" w:cs="宋体"/>
          <w:bCs/>
        </w:rPr>
      </w:pPr>
      <w:r>
        <w:rPr>
          <w:rFonts w:hint="eastAsia" w:ascii="宋体" w:hAnsi="宋体" w:eastAsia="宋体" w:cs="宋体"/>
          <w:bCs/>
        </w:rPr>
        <w:t>1、沿现状采掘场和内排土场边坡边界设置警示标牌，挂围栏网；</w:t>
      </w:r>
    </w:p>
    <w:p>
      <w:pPr>
        <w:ind w:firstLine="560"/>
        <w:rPr>
          <w:rFonts w:hint="eastAsia" w:ascii="宋体" w:hAnsi="宋体" w:eastAsia="宋体" w:cs="宋体"/>
          <w:bCs/>
        </w:rPr>
      </w:pPr>
      <w:r>
        <w:rPr>
          <w:rFonts w:hint="eastAsia" w:ascii="宋体" w:hAnsi="宋体" w:eastAsia="宋体" w:cs="宋体"/>
          <w:bCs/>
        </w:rPr>
        <w:t>2、对北外排土场边坡进行削坡，削坡后边坡坡度</w:t>
      </w:r>
      <w:r>
        <w:rPr>
          <w:rFonts w:hint="eastAsia" w:ascii="宋体" w:hAnsi="宋体" w:eastAsia="宋体" w:cs="宋体"/>
          <w:bCs/>
          <w:lang w:eastAsia="zh-CN"/>
        </w:rPr>
        <w:t>不大</w:t>
      </w:r>
      <w:r>
        <w:rPr>
          <w:rFonts w:hint="eastAsia" w:ascii="宋体" w:hAnsi="宋体" w:eastAsia="宋体" w:cs="宋体"/>
          <w:bCs/>
        </w:rPr>
        <w:t>于25°；</w:t>
      </w:r>
    </w:p>
    <w:p>
      <w:pPr>
        <w:ind w:firstLine="560"/>
        <w:rPr>
          <w:rFonts w:hint="eastAsia" w:ascii="宋体" w:hAnsi="宋体" w:eastAsia="宋体" w:cs="宋体"/>
          <w:bCs/>
        </w:rPr>
      </w:pPr>
      <w:r>
        <w:rPr>
          <w:rFonts w:hint="eastAsia" w:ascii="宋体" w:hAnsi="宋体" w:eastAsia="宋体" w:cs="宋体"/>
          <w:bCs/>
        </w:rPr>
        <w:t>3、地质灾害进行监测；</w:t>
      </w:r>
    </w:p>
    <w:p>
      <w:pPr>
        <w:ind w:firstLine="560"/>
        <w:rPr>
          <w:rFonts w:hint="eastAsia" w:ascii="宋体" w:hAnsi="宋体" w:eastAsia="宋体" w:cs="宋体"/>
          <w:bCs/>
        </w:rPr>
      </w:pPr>
      <w:r>
        <w:rPr>
          <w:rFonts w:hint="eastAsia" w:ascii="宋体" w:hAnsi="宋体" w:eastAsia="宋体" w:cs="宋体"/>
          <w:bCs/>
        </w:rPr>
        <w:t>4、地表水进行破坏监测；</w:t>
      </w:r>
    </w:p>
    <w:p>
      <w:pPr>
        <w:ind w:firstLine="560"/>
        <w:rPr>
          <w:rFonts w:hint="eastAsia" w:ascii="宋体" w:hAnsi="宋体" w:eastAsia="宋体" w:cs="宋体"/>
          <w:bCs/>
        </w:rPr>
      </w:pPr>
      <w:r>
        <w:rPr>
          <w:rFonts w:hint="eastAsia" w:ascii="宋体" w:hAnsi="宋体" w:eastAsia="宋体" w:cs="宋体"/>
          <w:bCs/>
        </w:rPr>
        <w:t>5、地形地貌景观进行破坏监测；</w:t>
      </w:r>
    </w:p>
    <w:p>
      <w:pPr>
        <w:ind w:firstLine="560"/>
        <w:rPr>
          <w:rFonts w:hint="eastAsia" w:ascii="宋体" w:hAnsi="宋体" w:eastAsia="宋体" w:cs="宋体"/>
          <w:bCs/>
        </w:rPr>
      </w:pPr>
      <w:r>
        <w:rPr>
          <w:rFonts w:hint="eastAsia" w:ascii="宋体" w:hAnsi="宋体" w:eastAsia="宋体" w:cs="宋体"/>
          <w:bCs/>
        </w:rPr>
        <w:t>6、水土环境污染进行破坏监测；</w:t>
      </w:r>
    </w:p>
    <w:p>
      <w:pPr>
        <w:ind w:firstLine="560"/>
        <w:rPr>
          <w:rFonts w:hint="eastAsia" w:ascii="宋体" w:hAnsi="宋体" w:eastAsia="宋体" w:cs="宋体"/>
          <w:bCs/>
        </w:rPr>
      </w:pPr>
      <w:r>
        <w:rPr>
          <w:rFonts w:hint="eastAsia" w:ascii="宋体" w:hAnsi="宋体" w:eastAsia="宋体" w:cs="宋体"/>
          <w:bCs/>
        </w:rPr>
        <w:t>7、明确巡查小组人员，对矿山地质环境进行人工巡查。</w:t>
      </w:r>
    </w:p>
    <w:p>
      <w:pPr>
        <w:ind w:firstLine="560"/>
        <w:rPr>
          <w:rFonts w:hint="eastAsia" w:ascii="宋体" w:hAnsi="宋体" w:eastAsia="宋体" w:cs="宋体"/>
        </w:rPr>
      </w:pPr>
      <w:r>
        <w:rPr>
          <w:rFonts w:hint="eastAsia" w:ascii="宋体" w:hAnsi="宋体" w:eastAsia="宋体" w:cs="宋体"/>
        </w:rPr>
        <w:t>（五）2026年11月～2027年10月</w:t>
      </w:r>
    </w:p>
    <w:p>
      <w:pPr>
        <w:ind w:firstLine="560"/>
        <w:rPr>
          <w:rFonts w:hint="eastAsia" w:ascii="宋体" w:hAnsi="宋体" w:eastAsia="宋体" w:cs="宋体"/>
          <w:bCs/>
        </w:rPr>
      </w:pPr>
      <w:r>
        <w:rPr>
          <w:rFonts w:hint="eastAsia" w:ascii="宋体" w:hAnsi="宋体" w:eastAsia="宋体" w:cs="宋体"/>
          <w:bCs/>
        </w:rPr>
        <w:t>1、沿现状采掘场和内排土场边坡边界设置警示标牌，挂围栏网；</w:t>
      </w:r>
    </w:p>
    <w:p>
      <w:pPr>
        <w:ind w:firstLine="560"/>
        <w:rPr>
          <w:rFonts w:hint="eastAsia" w:ascii="宋体" w:hAnsi="宋体" w:eastAsia="宋体" w:cs="宋体"/>
          <w:bCs/>
        </w:rPr>
      </w:pPr>
      <w:r>
        <w:rPr>
          <w:rFonts w:hint="eastAsia" w:ascii="宋体" w:hAnsi="宋体" w:eastAsia="宋体" w:cs="宋体"/>
          <w:bCs/>
        </w:rPr>
        <w:t>2、对北外排土场边坡进行削坡，削坡后边坡坡度</w:t>
      </w:r>
      <w:r>
        <w:rPr>
          <w:rFonts w:hint="eastAsia" w:ascii="宋体" w:hAnsi="宋体" w:eastAsia="宋体" w:cs="宋体"/>
          <w:bCs/>
          <w:lang w:eastAsia="zh-CN"/>
        </w:rPr>
        <w:t>不大</w:t>
      </w:r>
      <w:r>
        <w:rPr>
          <w:rFonts w:hint="eastAsia" w:ascii="宋体" w:hAnsi="宋体" w:eastAsia="宋体" w:cs="宋体"/>
          <w:bCs/>
        </w:rPr>
        <w:t>于25°；</w:t>
      </w:r>
    </w:p>
    <w:p>
      <w:pPr>
        <w:ind w:firstLine="560"/>
        <w:rPr>
          <w:rFonts w:hint="eastAsia" w:ascii="宋体" w:hAnsi="宋体" w:eastAsia="宋体" w:cs="宋体"/>
          <w:bCs/>
        </w:rPr>
      </w:pPr>
      <w:r>
        <w:rPr>
          <w:rFonts w:hint="eastAsia" w:ascii="宋体" w:hAnsi="宋体" w:eastAsia="宋体" w:cs="宋体"/>
          <w:bCs/>
        </w:rPr>
        <w:t>3、地质灾害进行监测；</w:t>
      </w:r>
    </w:p>
    <w:p>
      <w:pPr>
        <w:ind w:firstLine="560"/>
        <w:rPr>
          <w:rFonts w:hint="eastAsia" w:ascii="宋体" w:hAnsi="宋体" w:eastAsia="宋体" w:cs="宋体"/>
          <w:bCs/>
        </w:rPr>
      </w:pPr>
      <w:r>
        <w:rPr>
          <w:rFonts w:hint="eastAsia" w:ascii="宋体" w:hAnsi="宋体" w:eastAsia="宋体" w:cs="宋体"/>
          <w:bCs/>
        </w:rPr>
        <w:t>4、地表水进行破坏监测；</w:t>
      </w:r>
    </w:p>
    <w:p>
      <w:pPr>
        <w:ind w:firstLine="560"/>
        <w:rPr>
          <w:rFonts w:hint="eastAsia" w:ascii="宋体" w:hAnsi="宋体" w:eastAsia="宋体" w:cs="宋体"/>
          <w:bCs/>
        </w:rPr>
      </w:pPr>
      <w:r>
        <w:rPr>
          <w:rFonts w:hint="eastAsia" w:ascii="宋体" w:hAnsi="宋体" w:eastAsia="宋体" w:cs="宋体"/>
          <w:bCs/>
        </w:rPr>
        <w:t>5、地形地貌景观进行破坏监测；</w:t>
      </w:r>
    </w:p>
    <w:p>
      <w:pPr>
        <w:ind w:firstLine="560"/>
        <w:rPr>
          <w:rFonts w:hint="eastAsia" w:ascii="宋体" w:hAnsi="宋体" w:eastAsia="宋体" w:cs="宋体"/>
          <w:bCs/>
        </w:rPr>
      </w:pPr>
      <w:r>
        <w:rPr>
          <w:rFonts w:hint="eastAsia" w:ascii="宋体" w:hAnsi="宋体" w:eastAsia="宋体" w:cs="宋体"/>
          <w:bCs/>
        </w:rPr>
        <w:t>6、水土环境污染进行破坏监测；</w:t>
      </w:r>
    </w:p>
    <w:p>
      <w:pPr>
        <w:pStyle w:val="9"/>
        <w:ind w:firstLine="560"/>
        <w:rPr>
          <w:rFonts w:hint="eastAsia" w:ascii="宋体" w:hAnsi="宋体" w:eastAsia="宋体" w:cs="宋体"/>
          <w:bCs/>
        </w:rPr>
      </w:pPr>
      <w:r>
        <w:rPr>
          <w:rFonts w:hint="eastAsia" w:ascii="宋体" w:hAnsi="宋体" w:eastAsia="宋体" w:cs="宋体"/>
          <w:bCs/>
        </w:rPr>
        <w:t>7、明确巡查小组人员，对矿山地质环境进行人工巡查。</w:t>
      </w:r>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rPr>
      </w:pPr>
      <w:bookmarkStart w:id="17" w:name="_Toc27742"/>
      <w:r>
        <w:rPr>
          <w:rFonts w:hint="eastAsia" w:ascii="宋体" w:hAnsi="宋体" w:eastAsia="宋体" w:cs="宋体"/>
          <w:b/>
        </w:rPr>
        <w:t>二、土地复垦工作</w:t>
      </w:r>
      <w:bookmarkEnd w:id="17"/>
    </w:p>
    <w:p>
      <w:pPr>
        <w:pStyle w:val="9"/>
        <w:ind w:firstLine="560"/>
        <w:rPr>
          <w:rFonts w:hint="eastAsia" w:ascii="宋体" w:hAnsi="宋体" w:eastAsia="宋体" w:cs="宋体"/>
          <w:bCs/>
        </w:rPr>
      </w:pPr>
      <w:r>
        <w:rPr>
          <w:rFonts w:hint="eastAsia" w:ascii="宋体" w:hAnsi="宋体" w:eastAsia="宋体" w:cs="宋体"/>
          <w:bCs/>
        </w:rPr>
        <w:t>（一）2022年11月～2023年10月</w:t>
      </w:r>
    </w:p>
    <w:p>
      <w:pPr>
        <w:pStyle w:val="9"/>
        <w:ind w:firstLine="560"/>
        <w:rPr>
          <w:rFonts w:hint="eastAsia" w:ascii="宋体" w:hAnsi="宋体" w:eastAsia="宋体" w:cs="宋体"/>
          <w:bCs/>
        </w:rPr>
      </w:pPr>
      <w:r>
        <w:rPr>
          <w:rFonts w:hint="eastAsia" w:ascii="宋体" w:hAnsi="宋体" w:eastAsia="宋体" w:cs="宋体"/>
          <w:bCs/>
        </w:rPr>
        <w:t>1、对已复垦的内排土场平台、西南外排土场、北外排土场西侧已复垦区域进行土地复垦监测与管护，补种草籽，定期浇水，做好监测；</w:t>
      </w:r>
    </w:p>
    <w:p>
      <w:pPr>
        <w:pStyle w:val="9"/>
        <w:ind w:firstLine="560"/>
        <w:rPr>
          <w:rFonts w:hint="eastAsia" w:ascii="宋体" w:hAnsi="宋体" w:eastAsia="宋体" w:cs="宋体"/>
          <w:bCs/>
        </w:rPr>
      </w:pPr>
      <w:r>
        <w:rPr>
          <w:rFonts w:hint="eastAsia" w:ascii="宋体" w:hAnsi="宋体" w:eastAsia="宋体" w:cs="宋体"/>
          <w:bCs/>
        </w:rPr>
        <w:t>2、对已形成未复垦的内排土场平台设挡水围埂、铺设沙障、沙障内撒播草籽、敷设草帘的复垦措施；</w:t>
      </w:r>
    </w:p>
    <w:p>
      <w:pPr>
        <w:pStyle w:val="9"/>
        <w:ind w:firstLine="560"/>
        <w:rPr>
          <w:rFonts w:hint="eastAsia" w:ascii="宋体" w:hAnsi="宋体" w:eastAsia="宋体" w:cs="宋体"/>
          <w:bCs/>
        </w:rPr>
      </w:pPr>
      <w:r>
        <w:rPr>
          <w:rFonts w:hint="eastAsia" w:ascii="宋体" w:hAnsi="宋体" w:eastAsia="宋体" w:cs="宋体"/>
          <w:bCs/>
        </w:rPr>
        <w:t>（二）2023年11月～2024年10月</w:t>
      </w:r>
    </w:p>
    <w:p>
      <w:pPr>
        <w:pStyle w:val="9"/>
        <w:ind w:firstLine="560"/>
        <w:rPr>
          <w:rFonts w:hint="eastAsia" w:ascii="宋体" w:hAnsi="宋体" w:eastAsia="宋体" w:cs="宋体"/>
          <w:bCs/>
        </w:rPr>
      </w:pPr>
      <w:r>
        <w:rPr>
          <w:rFonts w:hint="eastAsia" w:ascii="宋体" w:hAnsi="宋体" w:eastAsia="宋体" w:cs="宋体"/>
          <w:bCs/>
        </w:rPr>
        <w:t>1、对新形成的采掘场进行表土剥离；</w:t>
      </w:r>
    </w:p>
    <w:p>
      <w:pPr>
        <w:pStyle w:val="9"/>
        <w:ind w:firstLine="560"/>
        <w:rPr>
          <w:rFonts w:hint="eastAsia" w:ascii="宋体" w:hAnsi="宋体" w:eastAsia="宋体" w:cs="宋体"/>
          <w:bCs/>
        </w:rPr>
      </w:pPr>
      <w:r>
        <w:rPr>
          <w:rFonts w:hint="eastAsia" w:ascii="宋体" w:hAnsi="宋体" w:eastAsia="宋体" w:cs="宋体"/>
          <w:bCs/>
        </w:rPr>
        <w:t>2、对已复垦的内排土场平台、西南外排土场、北外排土场西侧已复垦区域进行土地复垦监测与管护，补种草籽，定期浇水，做好监测；</w:t>
      </w:r>
    </w:p>
    <w:p>
      <w:pPr>
        <w:pStyle w:val="9"/>
        <w:ind w:firstLine="560"/>
        <w:rPr>
          <w:rFonts w:hint="eastAsia" w:ascii="宋体" w:hAnsi="宋体" w:eastAsia="宋体" w:cs="宋体"/>
          <w:bCs/>
        </w:rPr>
      </w:pPr>
      <w:r>
        <w:rPr>
          <w:rFonts w:hint="eastAsia" w:ascii="宋体" w:hAnsi="宋体" w:eastAsia="宋体" w:cs="宋体"/>
          <w:bCs/>
        </w:rPr>
        <w:t>3、对已形成未复垦的内排土场平台设挡水围埂、铺设沙障、沙障内撒播草籽、敷设草帘的复垦措施；</w:t>
      </w:r>
    </w:p>
    <w:p>
      <w:pPr>
        <w:pStyle w:val="9"/>
        <w:ind w:firstLine="560"/>
        <w:rPr>
          <w:rFonts w:hint="eastAsia" w:ascii="宋体" w:hAnsi="宋体" w:eastAsia="宋体" w:cs="宋体"/>
          <w:bCs/>
        </w:rPr>
      </w:pPr>
      <w:r>
        <w:rPr>
          <w:rFonts w:hint="eastAsia" w:ascii="宋体" w:hAnsi="宋体" w:eastAsia="宋体" w:cs="宋体"/>
          <w:bCs/>
        </w:rPr>
        <w:t>4、北外排土场边坡柳笆护坡、撒播草籽，平台、台阶设挡水围埂、沙柳网格、撒播草籽、敷设草帘的复垦措施。</w:t>
      </w:r>
    </w:p>
    <w:p>
      <w:pPr>
        <w:pStyle w:val="9"/>
        <w:ind w:firstLine="560"/>
        <w:rPr>
          <w:rFonts w:hint="eastAsia" w:ascii="宋体" w:hAnsi="宋体" w:eastAsia="宋体" w:cs="宋体"/>
          <w:bCs/>
        </w:rPr>
      </w:pPr>
      <w:r>
        <w:rPr>
          <w:rFonts w:hint="eastAsia" w:ascii="宋体" w:hAnsi="宋体" w:eastAsia="宋体" w:cs="宋体"/>
          <w:bCs/>
        </w:rPr>
        <w:t>（三）2024年11月～2025年10月</w:t>
      </w:r>
    </w:p>
    <w:p>
      <w:pPr>
        <w:pStyle w:val="9"/>
        <w:ind w:firstLine="560"/>
        <w:rPr>
          <w:rFonts w:hint="eastAsia" w:ascii="宋体" w:hAnsi="宋体" w:eastAsia="宋体" w:cs="宋体"/>
          <w:bCs/>
        </w:rPr>
      </w:pPr>
      <w:r>
        <w:rPr>
          <w:rFonts w:hint="eastAsia" w:ascii="宋体" w:hAnsi="宋体" w:eastAsia="宋体" w:cs="宋体"/>
          <w:bCs/>
        </w:rPr>
        <w:t>1、对新形成的采掘场进行表土剥离；</w:t>
      </w:r>
    </w:p>
    <w:p>
      <w:pPr>
        <w:pStyle w:val="9"/>
        <w:ind w:firstLine="560"/>
        <w:rPr>
          <w:rFonts w:hint="eastAsia" w:ascii="宋体" w:hAnsi="宋体" w:eastAsia="宋体" w:cs="宋体"/>
          <w:bCs/>
        </w:rPr>
      </w:pPr>
      <w:r>
        <w:rPr>
          <w:rFonts w:hint="eastAsia" w:ascii="宋体" w:hAnsi="宋体" w:eastAsia="宋体" w:cs="宋体"/>
          <w:bCs/>
        </w:rPr>
        <w:t>2、对已复垦的内排土场平台、西南外排土场、北外排土场西侧已复垦区域进行土地复垦监测与管护，补种草籽，定期浇水，做好监测；</w:t>
      </w:r>
    </w:p>
    <w:p>
      <w:pPr>
        <w:pStyle w:val="9"/>
        <w:ind w:firstLine="560"/>
        <w:rPr>
          <w:rFonts w:hint="eastAsia" w:ascii="宋体" w:hAnsi="宋体" w:eastAsia="宋体" w:cs="宋体"/>
          <w:bCs/>
        </w:rPr>
      </w:pPr>
      <w:r>
        <w:rPr>
          <w:rFonts w:hint="eastAsia" w:ascii="宋体" w:hAnsi="宋体" w:eastAsia="宋体" w:cs="宋体"/>
          <w:bCs/>
        </w:rPr>
        <w:t>3、对已形成未复垦的内排土场平台设挡水围埂、铺设沙障、沙障内撒播草籽、敷设草帘的复垦措施；</w:t>
      </w:r>
    </w:p>
    <w:p>
      <w:pPr>
        <w:pStyle w:val="9"/>
        <w:ind w:firstLine="560"/>
        <w:rPr>
          <w:rFonts w:hint="eastAsia" w:ascii="宋体" w:hAnsi="宋体" w:eastAsia="宋体" w:cs="宋体"/>
          <w:bCs/>
        </w:rPr>
      </w:pPr>
      <w:r>
        <w:rPr>
          <w:rFonts w:hint="eastAsia" w:ascii="宋体" w:hAnsi="宋体" w:eastAsia="宋体" w:cs="宋体"/>
          <w:bCs/>
        </w:rPr>
        <w:t>4、北外排土场边坡柳笆护坡、撒播草籽，平台、台阶设挡水围梗、沙柳网格、撒播草籽、敷设草帘的复垦措施。</w:t>
      </w:r>
    </w:p>
    <w:p>
      <w:pPr>
        <w:pStyle w:val="9"/>
        <w:ind w:firstLine="560"/>
        <w:rPr>
          <w:rFonts w:hint="eastAsia" w:ascii="宋体" w:hAnsi="宋体" w:eastAsia="宋体" w:cs="宋体"/>
          <w:bCs/>
        </w:rPr>
      </w:pPr>
      <w:r>
        <w:rPr>
          <w:rFonts w:hint="eastAsia" w:ascii="宋体" w:hAnsi="宋体" w:eastAsia="宋体" w:cs="宋体"/>
          <w:bCs/>
        </w:rPr>
        <w:t>（四）2025年11月～2026年10月</w:t>
      </w:r>
    </w:p>
    <w:p>
      <w:pPr>
        <w:pStyle w:val="9"/>
        <w:ind w:firstLine="560"/>
        <w:rPr>
          <w:rFonts w:hint="eastAsia" w:ascii="宋体" w:hAnsi="宋体" w:eastAsia="宋体" w:cs="宋体"/>
          <w:bCs/>
        </w:rPr>
      </w:pPr>
      <w:r>
        <w:rPr>
          <w:rFonts w:hint="eastAsia" w:ascii="宋体" w:hAnsi="宋体" w:eastAsia="宋体" w:cs="宋体"/>
          <w:bCs/>
        </w:rPr>
        <w:t>1、对新形成的采掘场进行表土剥离；</w:t>
      </w:r>
    </w:p>
    <w:p>
      <w:pPr>
        <w:pStyle w:val="9"/>
        <w:ind w:firstLine="560"/>
        <w:rPr>
          <w:rFonts w:hint="eastAsia" w:ascii="宋体" w:hAnsi="宋体" w:eastAsia="宋体" w:cs="宋体"/>
          <w:bCs/>
        </w:rPr>
      </w:pPr>
      <w:r>
        <w:rPr>
          <w:rFonts w:hint="eastAsia" w:ascii="宋体" w:hAnsi="宋体" w:eastAsia="宋体" w:cs="宋体"/>
          <w:bCs/>
        </w:rPr>
        <w:t>2、对已复垦的内排土场平台、西南外排土场、北外排土场西侧已复垦区域进行土地复垦监测与管护，补种草籽，定期浇水，做好监测；</w:t>
      </w:r>
    </w:p>
    <w:p>
      <w:pPr>
        <w:pStyle w:val="9"/>
        <w:ind w:firstLine="560"/>
        <w:rPr>
          <w:rFonts w:hint="eastAsia" w:ascii="宋体" w:hAnsi="宋体" w:eastAsia="宋体" w:cs="宋体"/>
          <w:bCs/>
        </w:rPr>
      </w:pPr>
      <w:r>
        <w:rPr>
          <w:rFonts w:hint="eastAsia" w:ascii="宋体" w:hAnsi="宋体" w:eastAsia="宋体" w:cs="宋体"/>
          <w:bCs/>
        </w:rPr>
        <w:t>3、对已形成未复垦的内排土场平台设挡水围埂、铺设沙障、沙障内撒播草籽、敷设草帘的复垦措施；</w:t>
      </w:r>
    </w:p>
    <w:p>
      <w:pPr>
        <w:pStyle w:val="9"/>
        <w:ind w:firstLine="560"/>
        <w:rPr>
          <w:rFonts w:hint="eastAsia" w:ascii="宋体" w:hAnsi="宋体" w:eastAsia="宋体" w:cs="宋体"/>
          <w:bCs/>
        </w:rPr>
      </w:pPr>
      <w:r>
        <w:rPr>
          <w:rFonts w:hint="eastAsia" w:ascii="宋体" w:hAnsi="宋体" w:eastAsia="宋体" w:cs="宋体"/>
          <w:bCs/>
        </w:rPr>
        <w:t>4、北外排土场边坡柳笆护坡、撒播草籽，平台、台阶设挡水围梗、沙柳网格、撒播草籽、敷设草帘的复垦措施。</w:t>
      </w:r>
    </w:p>
    <w:p>
      <w:pPr>
        <w:pStyle w:val="9"/>
        <w:ind w:firstLine="560"/>
        <w:rPr>
          <w:rFonts w:hint="eastAsia" w:ascii="宋体" w:hAnsi="宋体" w:eastAsia="宋体" w:cs="宋体"/>
          <w:bCs/>
        </w:rPr>
      </w:pPr>
      <w:r>
        <w:rPr>
          <w:rFonts w:hint="eastAsia" w:ascii="宋体" w:hAnsi="宋体" w:eastAsia="宋体" w:cs="宋体"/>
          <w:bCs/>
        </w:rPr>
        <w:t>（五）2026年11月～2027年10月</w:t>
      </w:r>
    </w:p>
    <w:p>
      <w:pPr>
        <w:pStyle w:val="9"/>
        <w:ind w:firstLine="560"/>
        <w:rPr>
          <w:rFonts w:hint="eastAsia" w:ascii="宋体" w:hAnsi="宋体" w:eastAsia="宋体" w:cs="宋体"/>
          <w:bCs/>
        </w:rPr>
      </w:pPr>
      <w:r>
        <w:rPr>
          <w:rFonts w:hint="eastAsia" w:ascii="宋体" w:hAnsi="宋体" w:eastAsia="宋体" w:cs="宋体"/>
          <w:bCs/>
        </w:rPr>
        <w:t>1、对新形成的采掘场进行表土剥离；</w:t>
      </w:r>
    </w:p>
    <w:p>
      <w:pPr>
        <w:pStyle w:val="9"/>
        <w:ind w:firstLine="560"/>
        <w:rPr>
          <w:rFonts w:hint="eastAsia" w:ascii="宋体" w:hAnsi="宋体" w:eastAsia="宋体" w:cs="宋体"/>
          <w:bCs/>
        </w:rPr>
      </w:pPr>
      <w:r>
        <w:rPr>
          <w:rFonts w:hint="eastAsia" w:ascii="宋体" w:hAnsi="宋体" w:eastAsia="宋体" w:cs="宋体"/>
          <w:bCs/>
        </w:rPr>
        <w:t>2、对已复垦的内排土场平台、西南外排土场、北外排土场西侧已复垦区域进行土地复垦监测与管护，补种草籽，定期浇水，做好监测；</w:t>
      </w:r>
    </w:p>
    <w:p>
      <w:pPr>
        <w:pStyle w:val="9"/>
        <w:ind w:firstLine="560"/>
        <w:rPr>
          <w:rFonts w:hint="eastAsia" w:ascii="宋体" w:hAnsi="宋体" w:eastAsia="宋体" w:cs="宋体"/>
          <w:bCs/>
        </w:rPr>
      </w:pPr>
      <w:r>
        <w:rPr>
          <w:rFonts w:hint="eastAsia" w:ascii="宋体" w:hAnsi="宋体" w:eastAsia="宋体" w:cs="宋体"/>
          <w:bCs/>
        </w:rPr>
        <w:t>3、对已形成未复垦的内排土场平台设挡水围埂、铺设沙障、沙障内撒播草籽、敷设草帘的复垦措施；</w:t>
      </w:r>
    </w:p>
    <w:p>
      <w:pPr>
        <w:pStyle w:val="9"/>
        <w:ind w:firstLine="560"/>
        <w:rPr>
          <w:rFonts w:hint="eastAsia" w:ascii="宋体" w:hAnsi="宋体" w:eastAsia="宋体" w:cs="宋体"/>
          <w:bCs/>
        </w:rPr>
      </w:pPr>
      <w:r>
        <w:rPr>
          <w:rFonts w:hint="eastAsia" w:ascii="宋体" w:hAnsi="宋体" w:eastAsia="宋体" w:cs="宋体"/>
          <w:bCs/>
        </w:rPr>
        <w:t>4、北外排土场边坡柳笆护坡、撒播草籽，平台、台阶设挡水围梗、沙柳网格、撒播草籽、敷设草帘的复垦措施。</w:t>
      </w:r>
    </w:p>
    <w:p>
      <w:pPr>
        <w:pStyle w:val="9"/>
        <w:spacing w:line="0" w:lineRule="atLeast"/>
        <w:ind w:firstLine="0" w:firstLineChars="0"/>
        <w:jc w:val="center"/>
        <w:rPr>
          <w:rFonts w:hint="eastAsia" w:ascii="宋体" w:hAnsi="宋体" w:eastAsia="宋体" w:cs="宋体"/>
        </w:rPr>
      </w:pPr>
      <w:r>
        <w:rPr>
          <w:rFonts w:hint="eastAsia" w:ascii="宋体" w:hAnsi="宋体" w:eastAsia="宋体" w:cs="宋体"/>
          <w:b/>
          <w:bCs/>
        </w:rPr>
        <w:t>表5-1  近期各年度地质环境治理工程安排表</w:t>
      </w:r>
    </w:p>
    <w:tbl>
      <w:tblPr>
        <w:tblStyle w:val="16"/>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249"/>
        <w:gridCol w:w="1526"/>
        <w:gridCol w:w="1770"/>
        <w:gridCol w:w="81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年度</w:t>
            </w:r>
          </w:p>
        </w:tc>
        <w:tc>
          <w:tcPr>
            <w:tcW w:w="723"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治理单元</w:t>
            </w:r>
          </w:p>
        </w:tc>
        <w:tc>
          <w:tcPr>
            <w:tcW w:w="883"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治理面积</w:t>
            </w:r>
          </w:p>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（km</w:t>
            </w:r>
            <w:r>
              <w:rPr>
                <w:rFonts w:hint="eastAsia" w:ascii="宋体" w:hAnsi="宋体" w:eastAsia="宋体" w:cs="宋体"/>
                <w:color w:val="000000"/>
                <w:kern w:val="0"/>
                <w:sz w:val="24"/>
                <w:szCs w:val="24"/>
                <w:vertAlign w:val="superscript"/>
              </w:rPr>
              <w:t>2</w:t>
            </w:r>
            <w:r>
              <w:rPr>
                <w:rFonts w:hint="eastAsia" w:ascii="宋体" w:hAnsi="宋体" w:eastAsia="宋体" w:cs="宋体"/>
                <w:color w:val="000000"/>
                <w:kern w:val="0"/>
                <w:sz w:val="24"/>
                <w:szCs w:val="24"/>
              </w:rPr>
              <w:t>）</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治理工程</w:t>
            </w:r>
          </w:p>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2022年11月</w:t>
            </w:r>
          </w:p>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-2023年10月</w:t>
            </w: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1.8105</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0.6358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88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0.1534</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边坡整形</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10800（纳入矿山主体工程）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2023年11月</w:t>
            </w:r>
          </w:p>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-2024年10月</w:t>
            </w: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0.3634</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0.1608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88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0.738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边坡整形</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40000（纳入矿山主体工程）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削坡</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2024年11月</w:t>
            </w:r>
          </w:p>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-2025 年10月</w:t>
            </w: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0.3634</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0.1608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88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0.638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削坡</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2025年11月</w:t>
            </w:r>
          </w:p>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-2026年10月</w:t>
            </w: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0.3634</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0.1608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88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0.638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削坡</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2026年11月</w:t>
            </w:r>
          </w:p>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-2027年10月</w:t>
            </w:r>
          </w:p>
        </w:tc>
        <w:tc>
          <w:tcPr>
            <w:tcW w:w="723" w:type="pct"/>
            <w:vMerge w:val="restar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0.3634</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883" w:type="pct"/>
            <w:vMerge w:val="restar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0.1608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网围栏</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883"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设置警示牌</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8" w:type="pct"/>
            <w:vMerge w:val="continue"/>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p>
        </w:tc>
        <w:tc>
          <w:tcPr>
            <w:tcW w:w="72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883" w:type="pct"/>
            <w:shd w:val="clear" w:color="auto" w:fill="auto"/>
            <w:vAlign w:val="center"/>
          </w:tcPr>
          <w:p>
            <w:pPr>
              <w:autoSpaceDE w:val="0"/>
              <w:autoSpaceDN w:val="0"/>
              <w:adjustRightInd w:val="0"/>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0.638</w:t>
            </w:r>
          </w:p>
        </w:tc>
        <w:tc>
          <w:tcPr>
            <w:tcW w:w="102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削坡</w:t>
            </w:r>
          </w:p>
        </w:tc>
        <w:tc>
          <w:tcPr>
            <w:tcW w:w="474"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1135" w:type="pct"/>
            <w:shd w:val="clear" w:color="auto" w:fill="auto"/>
            <w:vAlign w:val="center"/>
          </w:tcPr>
          <w:p>
            <w:pPr>
              <w:widowControl/>
              <w:spacing w:line="240" w:lineRule="auto"/>
              <w:ind w:firstLine="240" w:firstLineChars="10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693600</w:t>
            </w:r>
          </w:p>
        </w:tc>
      </w:tr>
    </w:tbl>
    <w:p>
      <w:pPr>
        <w:pStyle w:val="9"/>
        <w:spacing w:line="0" w:lineRule="atLeast"/>
        <w:ind w:firstLine="0" w:firstLineChars="0"/>
        <w:jc w:val="center"/>
        <w:rPr>
          <w:rFonts w:hint="eastAsia" w:ascii="宋体" w:hAnsi="宋体" w:eastAsia="宋体" w:cs="宋体"/>
          <w:b/>
          <w:bCs/>
        </w:rPr>
      </w:pPr>
    </w:p>
    <w:p>
      <w:pPr>
        <w:pStyle w:val="9"/>
        <w:spacing w:line="0" w:lineRule="atLeast"/>
        <w:ind w:firstLine="0" w:firstLineChars="0"/>
        <w:jc w:val="center"/>
        <w:rPr>
          <w:rFonts w:hint="eastAsia" w:ascii="宋体" w:hAnsi="宋体" w:eastAsia="宋体" w:cs="宋体"/>
          <w:b/>
          <w:bCs/>
        </w:rPr>
      </w:pPr>
    </w:p>
    <w:p>
      <w:pPr>
        <w:pStyle w:val="9"/>
        <w:spacing w:line="0" w:lineRule="atLeast"/>
        <w:ind w:firstLine="0" w:firstLineChars="0"/>
        <w:jc w:val="center"/>
        <w:rPr>
          <w:rFonts w:hint="eastAsia" w:ascii="宋体" w:hAnsi="宋体" w:eastAsia="宋体" w:cs="宋体"/>
          <w:b/>
          <w:bCs/>
        </w:rPr>
      </w:pPr>
    </w:p>
    <w:p>
      <w:pPr>
        <w:pStyle w:val="9"/>
        <w:spacing w:line="0" w:lineRule="atLeast"/>
        <w:ind w:firstLine="0" w:firstLineChars="0"/>
        <w:jc w:val="center"/>
        <w:rPr>
          <w:rFonts w:hint="eastAsia" w:ascii="宋体" w:hAnsi="宋体" w:eastAsia="宋体" w:cs="宋体"/>
        </w:rPr>
      </w:pPr>
      <w:r>
        <w:rPr>
          <w:rFonts w:hint="eastAsia" w:ascii="宋体" w:hAnsi="宋体" w:eastAsia="宋体" w:cs="宋体"/>
          <w:b/>
          <w:bCs/>
        </w:rPr>
        <w:t>表5-2  近期各年度土地复垦工作安排表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277"/>
        <w:gridCol w:w="1786"/>
        <w:gridCol w:w="1200"/>
        <w:gridCol w:w="1306"/>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8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年度</w:t>
            </w:r>
          </w:p>
        </w:tc>
        <w:tc>
          <w:tcPr>
            <w:tcW w:w="749"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治理单元</w:t>
            </w:r>
          </w:p>
        </w:tc>
        <w:tc>
          <w:tcPr>
            <w:tcW w:w="1048"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复垦面积</w:t>
            </w:r>
          </w:p>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r>
              <w:rPr>
                <w:rFonts w:hint="eastAsia" w:ascii="宋体" w:hAnsi="宋体" w:eastAsia="宋体" w:cs="宋体"/>
                <w:color w:val="000000"/>
                <w:kern w:val="0"/>
                <w:sz w:val="24"/>
                <w:szCs w:val="24"/>
              </w:rPr>
              <w:t>）</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治理工程</w:t>
            </w:r>
          </w:p>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c>
          <w:tcPr>
            <w:tcW w:w="949"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restar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2022年11月-2023 年10月</w:t>
            </w:r>
          </w:p>
        </w:tc>
        <w:tc>
          <w:tcPr>
            <w:tcW w:w="749"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1048"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36.34</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1048" w:type="pct"/>
            <w:vMerge w:val="restar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6.04</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铺设沙障</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1048"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63.08</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西南外排土场</w:t>
            </w:r>
          </w:p>
        </w:tc>
        <w:tc>
          <w:tcPr>
            <w:tcW w:w="1048"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57.82</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restar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2023年11月-2024 年10月</w:t>
            </w:r>
          </w:p>
        </w:tc>
        <w:tc>
          <w:tcPr>
            <w:tcW w:w="749"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1048"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36.34</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1048"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16.08</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48240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铺设沙障</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230.63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1048" w:type="pct"/>
            <w:vMerge w:val="restar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63.08</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252320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189240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铺设沙障</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柳笆护坡</w:t>
            </w:r>
          </w:p>
        </w:tc>
        <w:tc>
          <w:tcPr>
            <w:tcW w:w="766"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84" w:type="pct"/>
            <w:vMerge w:val="continue"/>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p>
        </w:tc>
        <w:tc>
          <w:tcPr>
            <w:tcW w:w="749"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西南外排土场</w:t>
            </w:r>
          </w:p>
        </w:tc>
        <w:tc>
          <w:tcPr>
            <w:tcW w:w="1048" w:type="pct"/>
            <w:shd w:val="clear" w:color="auto" w:fill="auto"/>
            <w:vAlign w:val="center"/>
          </w:tcPr>
          <w:p>
            <w:pPr>
              <w:autoSpaceDE w:val="0"/>
              <w:autoSpaceDN w:val="0"/>
              <w:adjustRightInd w:val="0"/>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57.82</w:t>
            </w:r>
          </w:p>
        </w:tc>
        <w:tc>
          <w:tcPr>
            <w:tcW w:w="704"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0" w:lineRule="atLeast"/>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0" w:lineRule="atLeast"/>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57.82</w:t>
            </w:r>
          </w:p>
        </w:tc>
      </w:tr>
    </w:tbl>
    <w:p>
      <w:pPr>
        <w:pStyle w:val="9"/>
        <w:spacing w:line="0" w:lineRule="atLeast"/>
        <w:ind w:firstLine="0" w:firstLineChars="0"/>
        <w:jc w:val="center"/>
        <w:rPr>
          <w:rFonts w:hint="eastAsia" w:ascii="宋体" w:hAnsi="宋体" w:eastAsia="宋体" w:cs="宋体"/>
        </w:rPr>
      </w:pPr>
      <w:r>
        <w:rPr>
          <w:rFonts w:hint="eastAsia" w:ascii="宋体" w:hAnsi="宋体" w:eastAsia="宋体" w:cs="宋体"/>
          <w:b/>
          <w:bCs/>
        </w:rPr>
        <w:t>（续）表5-2  近期各年度土地复垦工作安排表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277"/>
        <w:gridCol w:w="1786"/>
        <w:gridCol w:w="1200"/>
        <w:gridCol w:w="1306"/>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8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年度</w:t>
            </w:r>
          </w:p>
        </w:tc>
        <w:tc>
          <w:tcPr>
            <w:tcW w:w="7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治理单元</w:t>
            </w:r>
          </w:p>
        </w:tc>
        <w:tc>
          <w:tcPr>
            <w:tcW w:w="1048"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复垦面积</w:t>
            </w:r>
          </w:p>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r>
              <w:rPr>
                <w:rFonts w:hint="eastAsia" w:ascii="宋体" w:hAnsi="宋体" w:eastAsia="宋体" w:cs="宋体"/>
                <w:color w:val="000000"/>
                <w:kern w:val="0"/>
                <w:sz w:val="24"/>
                <w:szCs w:val="24"/>
              </w:rPr>
              <w:t>）</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治理工程</w:t>
            </w:r>
          </w:p>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c>
          <w:tcPr>
            <w:tcW w:w="9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2024年11月-2025 年10月</w:t>
            </w:r>
          </w:p>
        </w:tc>
        <w:tc>
          <w:tcPr>
            <w:tcW w:w="7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1048"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36.34</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1048"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48240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铺设沙障</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1048"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63.08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252320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143580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设置沙障</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柳笆护坡</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西南外排土场</w:t>
            </w:r>
          </w:p>
        </w:tc>
        <w:tc>
          <w:tcPr>
            <w:tcW w:w="1048"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57.82</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57.82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2025年11月-2026年10月</w:t>
            </w:r>
          </w:p>
        </w:tc>
        <w:tc>
          <w:tcPr>
            <w:tcW w:w="7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1048"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36.34</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1048"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48240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铺设沙障</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262.79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1048"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63.08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252320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143580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设置沙障</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柳笆护坡</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229.04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西南外排土场</w:t>
            </w:r>
          </w:p>
        </w:tc>
        <w:tc>
          <w:tcPr>
            <w:tcW w:w="1048"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57.82</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57.82</w:t>
            </w:r>
          </w:p>
        </w:tc>
      </w:tr>
    </w:tbl>
    <w:p>
      <w:pPr>
        <w:ind w:firstLine="560"/>
        <w:rPr>
          <w:rFonts w:hint="eastAsia" w:ascii="宋体" w:hAnsi="宋体" w:eastAsia="宋体" w:cs="宋体"/>
        </w:rPr>
      </w:pPr>
    </w:p>
    <w:p>
      <w:pPr>
        <w:pStyle w:val="9"/>
        <w:spacing w:line="0" w:lineRule="atLeast"/>
        <w:ind w:firstLine="0" w:firstLineChars="0"/>
        <w:jc w:val="center"/>
        <w:rPr>
          <w:rFonts w:hint="eastAsia" w:ascii="宋体" w:hAnsi="宋体" w:eastAsia="宋体" w:cs="宋体"/>
        </w:rPr>
      </w:pPr>
      <w:r>
        <w:rPr>
          <w:rFonts w:hint="eastAsia" w:ascii="宋体" w:hAnsi="宋体" w:eastAsia="宋体" w:cs="宋体"/>
          <w:b/>
          <w:bCs/>
        </w:rPr>
        <w:t>（续）表5-2  近期各年度土地复垦工作安排表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277"/>
        <w:gridCol w:w="1786"/>
        <w:gridCol w:w="1200"/>
        <w:gridCol w:w="1306"/>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78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年度</w:t>
            </w:r>
          </w:p>
        </w:tc>
        <w:tc>
          <w:tcPr>
            <w:tcW w:w="7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治理单元</w:t>
            </w:r>
          </w:p>
        </w:tc>
        <w:tc>
          <w:tcPr>
            <w:tcW w:w="1048"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复垦面积</w:t>
            </w:r>
          </w:p>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r>
              <w:rPr>
                <w:rFonts w:hint="eastAsia" w:ascii="宋体" w:hAnsi="宋体" w:eastAsia="宋体" w:cs="宋体"/>
                <w:color w:val="000000"/>
                <w:kern w:val="0"/>
                <w:sz w:val="24"/>
                <w:szCs w:val="24"/>
              </w:rPr>
              <w:t>）</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治理工程</w:t>
            </w:r>
          </w:p>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c>
          <w:tcPr>
            <w:tcW w:w="9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2026年11月-2027年10月</w:t>
            </w:r>
          </w:p>
        </w:tc>
        <w:tc>
          <w:tcPr>
            <w:tcW w:w="749"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采掘场</w:t>
            </w:r>
          </w:p>
        </w:tc>
        <w:tc>
          <w:tcPr>
            <w:tcW w:w="1048"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36.34</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内排土场</w:t>
            </w:r>
          </w:p>
        </w:tc>
        <w:tc>
          <w:tcPr>
            <w:tcW w:w="1048" w:type="pct"/>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48240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设置沙障</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54.28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北外排土场</w:t>
            </w:r>
          </w:p>
        </w:tc>
        <w:tc>
          <w:tcPr>
            <w:tcW w:w="1048" w:type="pct"/>
            <w:vMerge w:val="restar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63.08</w:t>
            </w: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sz w:val="24"/>
                <w:szCs w:val="24"/>
              </w:rPr>
              <w:t>剥离表土</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覆土</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252320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平整</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3</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143580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增施羊粪</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设置沙障</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sz w:val="24"/>
                <w:szCs w:val="24"/>
              </w:rPr>
            </w:pPr>
            <w:r>
              <w:rPr>
                <w:rFonts w:hint="eastAsia" w:ascii="宋体" w:hAnsi="宋体" w:eastAsia="宋体" w:cs="宋体"/>
                <w:color w:val="000000"/>
                <w:kern w:val="0"/>
                <w:sz w:val="24"/>
                <w:szCs w:val="24"/>
              </w:rPr>
              <w:t>敷设草帘</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柳笆护坡</w:t>
            </w:r>
          </w:p>
        </w:tc>
        <w:tc>
          <w:tcPr>
            <w:tcW w:w="766" w:type="pct"/>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种草</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84"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49"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1048" w:type="pct"/>
            <w:vMerge w:val="continue"/>
            <w:shd w:val="clear" w:color="auto" w:fill="auto"/>
            <w:vAlign w:val="center"/>
          </w:tcPr>
          <w:p>
            <w:pPr>
              <w:autoSpaceDE w:val="0"/>
              <w:autoSpaceDN w:val="0"/>
              <w:adjustRightInd w:val="0"/>
              <w:spacing w:line="240" w:lineRule="auto"/>
              <w:ind w:firstLine="0" w:firstLineChars="0"/>
              <w:jc w:val="center"/>
              <w:rPr>
                <w:rFonts w:hint="eastAsia" w:ascii="宋体" w:hAnsi="宋体" w:eastAsia="宋体" w:cs="宋体"/>
                <w:color w:val="000000"/>
                <w:kern w:val="0"/>
                <w:sz w:val="24"/>
                <w:szCs w:val="24"/>
              </w:rPr>
            </w:pPr>
          </w:p>
        </w:tc>
        <w:tc>
          <w:tcPr>
            <w:tcW w:w="704"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植被管护</w:t>
            </w:r>
          </w:p>
        </w:tc>
        <w:tc>
          <w:tcPr>
            <w:tcW w:w="766" w:type="pc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w:t>
            </w:r>
            <w:r>
              <w:rPr>
                <w:rFonts w:hint="eastAsia" w:ascii="宋体" w:hAnsi="宋体" w:eastAsia="宋体" w:cs="宋体"/>
                <w:color w:val="000000"/>
                <w:kern w:val="0"/>
                <w:sz w:val="24"/>
                <w:szCs w:val="24"/>
                <w:vertAlign w:val="superscript"/>
              </w:rPr>
              <w:t>2</w:t>
            </w:r>
          </w:p>
        </w:tc>
        <w:tc>
          <w:tcPr>
            <w:tcW w:w="949" w:type="pct"/>
            <w:shd w:val="clear" w:color="auto" w:fill="auto"/>
            <w:vAlign w:val="center"/>
          </w:tcPr>
          <w:p>
            <w:pPr>
              <w:widowControl/>
              <w:spacing w:line="240" w:lineRule="auto"/>
              <w:ind w:firstLine="0" w:firstLineChars="0"/>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189.24</w:t>
            </w:r>
          </w:p>
        </w:tc>
      </w:tr>
    </w:tbl>
    <w:p>
      <w:pPr>
        <w:pStyle w:val="9"/>
        <w:ind w:firstLine="0" w:firstLineChars="0"/>
        <w:rPr>
          <w:rFonts w:hint="eastAsia" w:ascii="宋体" w:hAnsi="宋体" w:eastAsia="宋体" w:cs="宋体"/>
        </w:rPr>
      </w:pPr>
    </w:p>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pStyle w:val="2"/>
        <w:ind w:firstLine="0" w:firstLineChars="0"/>
        <w:rPr>
          <w:rFonts w:hint="eastAsia" w:ascii="宋体" w:hAnsi="宋体" w:eastAsia="宋体" w:cs="宋体"/>
        </w:rPr>
      </w:pPr>
      <w:bookmarkStart w:id="18" w:name="_Toc14677"/>
      <w:r>
        <w:rPr>
          <w:rFonts w:hint="eastAsia" w:ascii="宋体" w:hAnsi="宋体" w:eastAsia="宋体" w:cs="宋体"/>
        </w:rPr>
        <w:t>第六章  本年度矿山地质环境治理与土地复垦工作安排</w:t>
      </w:r>
      <w:bookmarkEnd w:id="18"/>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19" w:name="_Toc8111"/>
      <w:r>
        <w:rPr>
          <w:rFonts w:hint="eastAsia" w:ascii="宋体" w:hAnsi="宋体" w:eastAsia="宋体" w:cs="宋体"/>
          <w:b/>
          <w:bCs/>
        </w:rPr>
        <w:t>一、矿山地质环境治理与土地复垦工作计划</w:t>
      </w:r>
      <w:bookmarkEnd w:id="19"/>
    </w:p>
    <w:p>
      <w:pPr>
        <w:pStyle w:val="9"/>
        <w:ind w:firstLine="560"/>
        <w:rPr>
          <w:rFonts w:hint="eastAsia" w:ascii="宋体" w:hAnsi="宋体" w:eastAsia="宋体" w:cs="宋体"/>
        </w:rPr>
      </w:pPr>
      <w:r>
        <w:rPr>
          <w:rFonts w:hint="eastAsia" w:ascii="宋体" w:hAnsi="宋体" w:eastAsia="宋体" w:cs="宋体"/>
        </w:rPr>
        <w:t>（一）本年度矿山地质环境治理与土地复垦区域及主要要求</w:t>
      </w:r>
    </w:p>
    <w:p>
      <w:pPr>
        <w:pStyle w:val="9"/>
        <w:ind w:firstLine="560"/>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2024年</w:t>
      </w:r>
      <w:r>
        <w:rPr>
          <w:rFonts w:hint="eastAsia" w:ascii="宋体" w:hAnsi="宋体" w:eastAsia="宋体" w:cs="宋体"/>
          <w:color w:val="auto"/>
        </w:rPr>
        <w:t>北外排土场</w:t>
      </w:r>
      <w:r>
        <w:rPr>
          <w:rFonts w:hint="eastAsia" w:ascii="宋体" w:hAnsi="宋体" w:cs="宋体"/>
          <w:color w:val="auto"/>
          <w:lang w:val="en-US" w:eastAsia="zh-CN"/>
        </w:rPr>
        <w:t>新增区域复垦</w:t>
      </w:r>
      <w:r>
        <w:rPr>
          <w:rFonts w:hint="eastAsia" w:ascii="宋体" w:hAnsi="宋体" w:eastAsia="宋体" w:cs="宋体"/>
          <w:color w:val="auto"/>
        </w:rPr>
        <w:t>，</w:t>
      </w:r>
      <w:r>
        <w:rPr>
          <w:rFonts w:hint="eastAsia" w:ascii="宋体" w:hAnsi="宋体" w:cs="宋体"/>
          <w:color w:val="auto"/>
          <w:lang w:val="en-US" w:eastAsia="zh-CN"/>
        </w:rPr>
        <w:t>计划复垦</w:t>
      </w:r>
      <w:r>
        <w:rPr>
          <w:rFonts w:hint="eastAsia" w:ascii="宋体" w:hAnsi="宋体" w:eastAsia="宋体" w:cs="宋体"/>
          <w:color w:val="auto"/>
        </w:rPr>
        <w:t>面积</w:t>
      </w:r>
      <w:r>
        <w:rPr>
          <w:rFonts w:hint="eastAsia" w:ascii="宋体" w:hAnsi="宋体" w:eastAsia="宋体" w:cs="宋体"/>
          <w:color w:val="auto"/>
          <w:lang w:val="en-US" w:eastAsia="zh-CN"/>
        </w:rPr>
        <w:t>0.</w:t>
      </w:r>
      <w:r>
        <w:rPr>
          <w:rFonts w:hint="default" w:ascii="宋体" w:hAnsi="宋体" w:cs="宋体"/>
          <w:color w:val="auto"/>
          <w:lang w:val="en-US" w:eastAsia="zh-CN"/>
        </w:rPr>
        <w:t>36</w:t>
      </w:r>
      <w:r>
        <w:rPr>
          <w:rFonts w:hint="eastAsia" w:ascii="宋体" w:hAnsi="宋体" w:eastAsia="宋体" w:cs="宋体"/>
          <w:color w:val="auto"/>
        </w:rPr>
        <w:t>km</w:t>
      </w:r>
      <w:r>
        <w:rPr>
          <w:rFonts w:hint="eastAsia" w:ascii="宋体" w:hAnsi="宋体" w:eastAsia="宋体" w:cs="宋体"/>
          <w:color w:val="auto"/>
          <w:vertAlign w:val="superscript"/>
        </w:rPr>
        <w:t>2</w:t>
      </w:r>
      <w:r>
        <w:rPr>
          <w:rFonts w:hint="eastAsia" w:ascii="宋体" w:hAnsi="宋体" w:eastAsia="宋体" w:cs="宋体"/>
          <w:color w:val="auto"/>
        </w:rPr>
        <w:t>，主要工程包括削坡工程、排水工程、道路工程。治理设计编制中</w:t>
      </w:r>
      <w:r>
        <w:rPr>
          <w:rFonts w:hint="eastAsia" w:ascii="宋体" w:hAnsi="宋体" w:eastAsia="宋体" w:cs="宋体"/>
          <w:color w:val="auto"/>
          <w:lang w:eastAsia="zh-CN"/>
        </w:rPr>
        <w:t>，主要治理要求：</w:t>
      </w:r>
      <w:r>
        <w:rPr>
          <w:rFonts w:hint="eastAsia" w:ascii="宋体" w:hAnsi="宋体" w:eastAsia="宋体" w:cs="宋体"/>
          <w:color w:val="auto"/>
        </w:rPr>
        <w:t>对不符合要求的边坡进行削坡，以达到台阶坡面角25°，排土场帮坡角</w:t>
      </w:r>
      <w:r>
        <w:rPr>
          <w:rFonts w:hint="eastAsia" w:ascii="宋体" w:hAnsi="宋体" w:cs="宋体"/>
          <w:color w:val="auto"/>
          <w:lang w:eastAsia="zh-CN"/>
        </w:rPr>
        <w:t>不大于</w:t>
      </w:r>
      <w:r>
        <w:rPr>
          <w:rFonts w:hint="eastAsia" w:ascii="宋体" w:hAnsi="宋体" w:cs="宋体"/>
          <w:color w:val="auto"/>
          <w:lang w:val="en-US" w:eastAsia="zh-CN"/>
        </w:rPr>
        <w:t>17</w:t>
      </w:r>
      <w:r>
        <w:rPr>
          <w:rFonts w:hint="eastAsia" w:ascii="宋体" w:hAnsi="宋体" w:eastAsia="宋体" w:cs="宋体"/>
          <w:color w:val="auto"/>
        </w:rPr>
        <w:t>°的要求</w:t>
      </w:r>
      <w:r>
        <w:rPr>
          <w:rFonts w:hint="eastAsia" w:ascii="宋体" w:hAnsi="宋体" w:cs="宋体"/>
          <w:color w:val="auto"/>
          <w:lang w:eastAsia="zh-CN"/>
        </w:rPr>
        <w:t>，削坡量约</w:t>
      </w:r>
      <w:r>
        <w:rPr>
          <w:rFonts w:hint="eastAsia" w:ascii="宋体" w:hAnsi="宋体" w:cs="宋体"/>
          <w:color w:val="auto"/>
          <w:lang w:val="en-US" w:eastAsia="zh-CN"/>
        </w:rPr>
        <w:t>35000m</w:t>
      </w:r>
      <w:r>
        <w:rPr>
          <w:rFonts w:hint="eastAsia" w:ascii="宋体" w:hAnsi="宋体" w:cs="宋体"/>
          <w:color w:val="auto"/>
          <w:vertAlign w:val="superscript"/>
          <w:lang w:val="en-US" w:eastAsia="zh-CN"/>
        </w:rPr>
        <w:t>3</w:t>
      </w:r>
      <w:r>
        <w:rPr>
          <w:rFonts w:hint="eastAsia" w:ascii="宋体" w:hAnsi="宋体" w:eastAsia="宋体" w:cs="宋体"/>
          <w:color w:val="auto"/>
        </w:rPr>
        <w:t>。</w:t>
      </w:r>
    </w:p>
    <w:p>
      <w:pPr>
        <w:pStyle w:val="9"/>
        <w:ind w:firstLine="560"/>
        <w:rPr>
          <w:rFonts w:hint="eastAsia" w:ascii="宋体" w:hAnsi="宋体" w:eastAsia="宋体" w:cs="宋体"/>
          <w:color w:val="auto"/>
        </w:rPr>
      </w:pPr>
      <w:r>
        <w:rPr>
          <w:rFonts w:hint="eastAsia" w:ascii="宋体" w:hAnsi="宋体" w:eastAsia="宋体" w:cs="宋体"/>
          <w:color w:val="auto"/>
          <w:lang w:val="en-US" w:eastAsia="zh-CN"/>
        </w:rPr>
        <w:t>2024年</w:t>
      </w:r>
      <w:r>
        <w:rPr>
          <w:rFonts w:hint="eastAsia" w:ascii="宋体" w:hAnsi="宋体" w:eastAsia="宋体" w:cs="宋体"/>
          <w:color w:val="auto"/>
        </w:rPr>
        <w:t>北外排土场</w:t>
      </w:r>
      <w:r>
        <w:rPr>
          <w:rFonts w:hint="eastAsia" w:ascii="宋体" w:hAnsi="宋体" w:eastAsia="宋体" w:cs="宋体"/>
          <w:color w:val="auto"/>
          <w:lang w:val="en-US" w:eastAsia="zh-CN"/>
        </w:rPr>
        <w:t>新增复垦区域需要覆盖表土</w:t>
      </w:r>
      <w:r>
        <w:rPr>
          <w:rFonts w:hint="eastAsia" w:ascii="宋体" w:hAnsi="宋体" w:eastAsia="宋体" w:cs="宋体"/>
          <w:color w:val="auto"/>
        </w:rPr>
        <w:t>，</w:t>
      </w:r>
      <w:r>
        <w:rPr>
          <w:rFonts w:hint="eastAsia" w:ascii="宋体" w:hAnsi="宋体" w:eastAsia="宋体" w:cs="宋体"/>
          <w:color w:val="auto"/>
          <w:lang w:val="en-US" w:eastAsia="zh-CN"/>
        </w:rPr>
        <w:t>受内蒙古自治区煤炭领域专项整治涉及西北能源解决历史遗留问题的影响，芒来煤矿</w:t>
      </w:r>
      <w:r>
        <w:rPr>
          <w:rFonts w:hint="eastAsia" w:ascii="宋体" w:hAnsi="宋体" w:eastAsia="宋体" w:cs="宋体"/>
          <w:color w:val="auto"/>
        </w:rPr>
        <w:t>征地手续批复</w:t>
      </w:r>
      <w:r>
        <w:rPr>
          <w:rFonts w:hint="eastAsia" w:ascii="宋体" w:hAnsi="宋体" w:eastAsia="宋体" w:cs="宋体"/>
          <w:color w:val="auto"/>
          <w:lang w:val="en-US" w:eastAsia="zh-CN"/>
        </w:rPr>
        <w:t>受限</w:t>
      </w:r>
      <w:r>
        <w:rPr>
          <w:rFonts w:hint="eastAsia" w:ascii="宋体" w:hAnsi="宋体" w:eastAsia="宋体" w:cs="宋体"/>
          <w:color w:val="auto"/>
        </w:rPr>
        <w:t>，</w:t>
      </w:r>
      <w:r>
        <w:rPr>
          <w:rFonts w:hint="eastAsia" w:ascii="宋体" w:hAnsi="宋体" w:eastAsia="宋体" w:cs="宋体"/>
          <w:color w:val="auto"/>
          <w:lang w:val="en-US" w:eastAsia="zh-CN"/>
        </w:rPr>
        <w:t>若无新增用地，北外排土场新增复垦区域将无表土进行复垦。如8月底前土地可用，北外排土场可完成复垦面积0.36</w:t>
      </w:r>
      <w:r>
        <w:rPr>
          <w:rFonts w:hint="eastAsia" w:ascii="宋体" w:hAnsi="宋体" w:eastAsia="宋体" w:cs="宋体"/>
          <w:color w:val="auto"/>
        </w:rPr>
        <w:t>km</w:t>
      </w:r>
      <w:r>
        <w:rPr>
          <w:rFonts w:hint="eastAsia" w:ascii="宋体" w:hAnsi="宋体" w:eastAsia="宋体" w:cs="宋体"/>
          <w:color w:val="auto"/>
          <w:lang w:val="en-US" w:eastAsia="zh-CN"/>
        </w:rPr>
        <w:t>²，如9月底前土地可用，北外排土场可完成复垦面积0.24</w:t>
      </w:r>
      <w:r>
        <w:rPr>
          <w:rFonts w:hint="eastAsia" w:ascii="宋体" w:hAnsi="宋体" w:eastAsia="宋体" w:cs="宋体"/>
          <w:color w:val="auto"/>
        </w:rPr>
        <w:t>km</w:t>
      </w:r>
      <w:r>
        <w:rPr>
          <w:rFonts w:hint="eastAsia" w:ascii="宋体" w:hAnsi="宋体" w:eastAsia="宋体" w:cs="宋体"/>
          <w:color w:val="auto"/>
          <w:lang w:val="en-US" w:eastAsia="zh-CN"/>
        </w:rPr>
        <w:t>²，如10月底前土地可用，北外排</w:t>
      </w:r>
      <w:r>
        <w:rPr>
          <w:rFonts w:hint="eastAsia" w:ascii="宋体" w:hAnsi="宋体" w:cs="宋体"/>
          <w:color w:val="auto"/>
          <w:lang w:val="en-US" w:eastAsia="zh-CN"/>
        </w:rPr>
        <w:t>土场可完成复垦面积0.12</w:t>
      </w:r>
      <w:r>
        <w:rPr>
          <w:rFonts w:hint="eastAsia" w:ascii="宋体" w:hAnsi="宋体" w:eastAsia="宋体" w:cs="宋体"/>
          <w:color w:val="auto"/>
        </w:rPr>
        <w:t>km</w:t>
      </w:r>
      <w:r>
        <w:rPr>
          <w:rFonts w:hint="eastAsia" w:ascii="宋体" w:hAnsi="宋体" w:cs="宋体"/>
          <w:color w:val="auto"/>
          <w:lang w:val="en-US" w:eastAsia="zh-CN"/>
        </w:rPr>
        <w:t>²，如11月底前土地可用，北外</w:t>
      </w:r>
      <w:r>
        <w:rPr>
          <w:rFonts w:hint="eastAsia" w:ascii="宋体" w:hAnsi="宋体" w:eastAsia="宋体" w:cs="宋体"/>
          <w:color w:val="auto"/>
        </w:rPr>
        <w:t>排土场</w:t>
      </w:r>
      <w:r>
        <w:rPr>
          <w:rFonts w:hint="eastAsia" w:ascii="宋体" w:hAnsi="宋体" w:cs="宋体"/>
          <w:color w:val="auto"/>
          <w:lang w:val="en-US" w:eastAsia="zh-CN"/>
        </w:rPr>
        <w:t>将</w:t>
      </w:r>
      <w:r>
        <w:rPr>
          <w:rFonts w:hint="eastAsia" w:ascii="宋体" w:hAnsi="宋体" w:eastAsia="宋体" w:cs="宋体"/>
          <w:color w:val="auto"/>
        </w:rPr>
        <w:t>无法</w:t>
      </w:r>
      <w:r>
        <w:rPr>
          <w:rFonts w:hint="eastAsia" w:ascii="宋体" w:hAnsi="宋体" w:cs="宋体"/>
          <w:color w:val="auto"/>
          <w:lang w:val="en-US" w:eastAsia="zh-CN"/>
        </w:rPr>
        <w:t>进行复垦。</w:t>
      </w:r>
    </w:p>
    <w:p>
      <w:pPr>
        <w:pStyle w:val="9"/>
        <w:ind w:firstLine="0" w:firstLineChars="0"/>
        <w:rPr>
          <w:rFonts w:hint="eastAsia" w:ascii="宋体" w:hAnsi="宋体" w:eastAsia="宋体" w:cs="宋体"/>
        </w:rPr>
      </w:pPr>
      <w:r>
        <w:rPr>
          <w:rFonts w:hint="eastAsia" w:ascii="宋体" w:hAnsi="宋体" w:eastAsia="宋体" w:cs="宋体"/>
        </w:rPr>
        <w:drawing>
          <wp:inline distT="0" distB="0" distL="114300" distR="114300">
            <wp:extent cx="5212080" cy="3474720"/>
            <wp:effectExtent l="0" t="0" r="7620" b="11430"/>
            <wp:docPr id="4" name="图片 4" descr="a5cc8d8aead04150906b22620d9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c8d8aead04150906b22620d98439"/>
                    <pic:cNvPicPr>
                      <a:picLocks noChangeAspect="1"/>
                    </pic:cNvPicPr>
                  </pic:nvPicPr>
                  <pic:blipFill>
                    <a:blip r:embed="rId45"/>
                    <a:stretch>
                      <a:fillRect/>
                    </a:stretch>
                  </pic:blipFill>
                  <pic:spPr>
                    <a:xfrm>
                      <a:off x="0" y="0"/>
                      <a:ext cx="5212080" cy="3474720"/>
                    </a:xfrm>
                    <a:prstGeom prst="rect">
                      <a:avLst/>
                    </a:prstGeom>
                  </pic:spPr>
                </pic:pic>
              </a:graphicData>
            </a:graphic>
          </wp:inline>
        </w:drawing>
      </w:r>
    </w:p>
    <w:p>
      <w:pPr>
        <w:pStyle w:val="9"/>
        <w:ind w:firstLine="0" w:firstLineChars="0"/>
        <w:jc w:val="center"/>
        <w:rPr>
          <w:rFonts w:hint="eastAsia" w:ascii="宋体" w:hAnsi="宋体" w:eastAsia="宋体" w:cs="宋体"/>
          <w:b/>
          <w:bCs/>
          <w:lang w:val="en-US" w:eastAsia="zh-CN"/>
        </w:rPr>
      </w:pPr>
      <w:r>
        <w:rPr>
          <w:rFonts w:hint="eastAsia" w:ascii="宋体" w:hAnsi="宋体" w:eastAsia="宋体" w:cs="宋体"/>
          <w:b/>
          <w:bCs/>
          <w:lang w:eastAsia="zh-CN"/>
        </w:rPr>
        <w:t>图</w:t>
      </w:r>
      <w:r>
        <w:rPr>
          <w:rFonts w:hint="eastAsia" w:ascii="宋体" w:hAnsi="宋体" w:eastAsia="宋体" w:cs="宋体"/>
          <w:b/>
          <w:bCs/>
          <w:lang w:val="en-US" w:eastAsia="zh-CN"/>
        </w:rPr>
        <w:t>6-1  北外排土场现状图</w:t>
      </w:r>
    </w:p>
    <w:p>
      <w:pPr>
        <w:pStyle w:val="9"/>
        <w:numPr>
          <w:ilvl w:val="0"/>
          <w:numId w:val="0"/>
        </w:numPr>
        <w:ind w:firstLine="560" w:firstLineChars="200"/>
        <w:rPr>
          <w:rFonts w:hint="eastAsia" w:ascii="宋体" w:hAnsi="宋体" w:eastAsia="宋体" w:cs="宋体"/>
        </w:rPr>
      </w:pPr>
      <w:r>
        <w:rPr>
          <w:rFonts w:hint="default" w:ascii="宋体" w:hAnsi="宋体" w:cs="宋体"/>
          <w:kern w:val="2"/>
          <w:sz w:val="28"/>
          <w:szCs w:val="22"/>
          <w:lang w:val="en-US" w:eastAsia="zh-CN" w:bidi="ar-SA"/>
        </w:rPr>
        <w:t>2</w:t>
      </w:r>
      <w:r>
        <w:rPr>
          <w:rFonts w:hint="eastAsia" w:ascii="宋体" w:hAnsi="宋体" w:eastAsia="宋体" w:cs="宋体"/>
          <w:kern w:val="2"/>
          <w:sz w:val="28"/>
          <w:szCs w:val="22"/>
          <w:lang w:val="en-US" w:eastAsia="zh-CN" w:bidi="ar-SA"/>
        </w:rPr>
        <w:t>、</w:t>
      </w:r>
      <w:r>
        <w:rPr>
          <w:rFonts w:hint="eastAsia" w:ascii="宋体" w:hAnsi="宋体" w:eastAsia="宋体" w:cs="宋体"/>
        </w:rPr>
        <w:t>内外排土场基底防滑治理及采场边坡治理</w:t>
      </w:r>
      <w:r>
        <w:rPr>
          <w:rFonts w:hint="eastAsia" w:ascii="宋体" w:hAnsi="宋体" w:eastAsia="宋体" w:cs="宋体"/>
          <w:lang w:eastAsia="zh-CN"/>
        </w:rPr>
        <w:t>，</w:t>
      </w:r>
      <w:r>
        <w:rPr>
          <w:rFonts w:hint="eastAsia" w:cs="Times New Roman"/>
        </w:rPr>
        <w:t>为了加强采坑边帮及内排土场边坡稳定性，确保复垦区域环境恢复治理效果，采取工程措施对采坑边帮及内排土场边坡存在的隐患体进行治理；内排土场底部排弃大块的、坚硬的、遇水不易泥化的物料；对外排土场雨水冲沟进行填土整平。</w:t>
      </w:r>
    </w:p>
    <w:p>
      <w:pPr>
        <w:pStyle w:val="9"/>
        <w:ind w:firstLine="560"/>
        <w:rPr>
          <w:rFonts w:hint="eastAsia" w:ascii="宋体" w:hAnsi="宋体" w:eastAsia="宋体" w:cs="宋体"/>
          <w:lang w:val="en-US" w:eastAsia="zh-CN"/>
        </w:rPr>
      </w:pPr>
      <w:r>
        <w:rPr>
          <w:rFonts w:hint="default" w:ascii="宋体" w:hAnsi="宋体" w:cs="宋体"/>
          <w:lang w:val="en-US" w:eastAsia="zh-CN"/>
        </w:rPr>
        <w:t>3</w:t>
      </w:r>
      <w:r>
        <w:rPr>
          <w:rFonts w:hint="eastAsia" w:ascii="宋体" w:hAnsi="宋体" w:eastAsia="宋体" w:cs="宋体"/>
          <w:lang w:val="en-US" w:eastAsia="zh-CN"/>
        </w:rPr>
        <w:t>、1#、2#破碎站卸料平台修整，包括对卸料平台场地进行平整、垫料等工作。</w:t>
      </w:r>
    </w:p>
    <w:p>
      <w:pPr>
        <w:pStyle w:val="9"/>
        <w:ind w:firstLine="0" w:firstLineChars="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4785" cy="3578225"/>
            <wp:effectExtent l="0" t="0" r="0" b="0"/>
            <wp:docPr id="6" name="图片 6" descr="36103afda1e0285a70ceb0a18a7e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103afda1e0285a70ceb0a18a7e1d0"/>
                    <pic:cNvPicPr>
                      <a:picLocks noChangeAspect="1"/>
                    </pic:cNvPicPr>
                  </pic:nvPicPr>
                  <pic:blipFill>
                    <a:blip r:embed="rId46"/>
                    <a:srcRect t="9420"/>
                    <a:stretch>
                      <a:fillRect/>
                    </a:stretch>
                  </pic:blipFill>
                  <pic:spPr>
                    <a:xfrm>
                      <a:off x="0" y="0"/>
                      <a:ext cx="5264785" cy="3578225"/>
                    </a:xfrm>
                    <a:prstGeom prst="rect">
                      <a:avLst/>
                    </a:prstGeom>
                  </pic:spPr>
                </pic:pic>
              </a:graphicData>
            </a:graphic>
          </wp:inline>
        </w:drawing>
      </w:r>
    </w:p>
    <w:p>
      <w:pPr>
        <w:pStyle w:val="9"/>
        <w:ind w:firstLine="0" w:firstLineChars="0"/>
        <w:jc w:val="center"/>
        <w:rPr>
          <w:rFonts w:hint="eastAsia" w:ascii="宋体" w:hAnsi="宋体" w:eastAsia="宋体" w:cs="宋体"/>
          <w:b/>
          <w:bCs/>
          <w:lang w:val="en-US" w:eastAsia="zh-CN"/>
        </w:rPr>
      </w:pPr>
      <w:r>
        <w:rPr>
          <w:rFonts w:hint="eastAsia" w:ascii="宋体" w:hAnsi="宋体" w:eastAsia="宋体" w:cs="宋体"/>
          <w:b/>
          <w:bCs/>
          <w:lang w:eastAsia="zh-CN"/>
        </w:rPr>
        <w:t>图</w:t>
      </w:r>
      <w:r>
        <w:rPr>
          <w:rFonts w:hint="eastAsia" w:ascii="宋体" w:hAnsi="宋体" w:eastAsia="宋体" w:cs="宋体"/>
          <w:b/>
          <w:bCs/>
          <w:lang w:val="en-US" w:eastAsia="zh-CN"/>
        </w:rPr>
        <w:t>6-</w:t>
      </w:r>
      <w:r>
        <w:rPr>
          <w:rFonts w:hint="default" w:ascii="宋体" w:hAnsi="宋体" w:cs="宋体"/>
          <w:b/>
          <w:bCs/>
          <w:lang w:val="en-US" w:eastAsia="zh-CN"/>
        </w:rPr>
        <w:t>2</w:t>
      </w:r>
      <w:r>
        <w:rPr>
          <w:rFonts w:hint="eastAsia" w:ascii="宋体" w:hAnsi="宋体" w:eastAsia="宋体" w:cs="宋体"/>
          <w:b/>
          <w:bCs/>
          <w:lang w:val="en-US" w:eastAsia="zh-CN"/>
        </w:rPr>
        <w:t xml:space="preserve">  卸料平台场地现状图</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lang w:val="en-US" w:eastAsia="zh-CN"/>
        </w:rPr>
      </w:pPr>
      <w:r>
        <w:rPr>
          <w:rFonts w:hint="default" w:ascii="宋体" w:hAnsi="宋体" w:cs="宋体"/>
          <w:lang w:val="en-US" w:eastAsia="zh-CN"/>
        </w:rPr>
        <w:t>4</w:t>
      </w:r>
      <w:r>
        <w:rPr>
          <w:rFonts w:hint="eastAsia" w:ascii="宋体" w:hAnsi="宋体" w:eastAsia="宋体" w:cs="宋体"/>
          <w:lang w:val="en-US" w:eastAsia="zh-CN"/>
        </w:rPr>
        <w:t>、已过养护期的绿化区域补植，如入矿道路两侧绿化带、办公区门房至一号公寓楼道路两侧等区域。</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lang w:val="en-US" w:eastAsia="zh-CN"/>
        </w:rPr>
      </w:pPr>
      <w:r>
        <w:rPr>
          <w:rFonts w:hint="default" w:ascii="宋体" w:hAnsi="宋体" w:cs="宋体"/>
          <w:lang w:val="en-US" w:eastAsia="zh-CN"/>
        </w:rPr>
        <w:t>5</w:t>
      </w:r>
      <w:r>
        <w:rPr>
          <w:rFonts w:hint="eastAsia" w:ascii="宋体" w:hAnsi="宋体" w:cs="宋体"/>
          <w:lang w:val="en-US" w:eastAsia="zh-CN"/>
        </w:rPr>
        <w:t>、北外排土场以往复垦区养护、管护，如平整、补种草籽等，面积0.38km</w:t>
      </w:r>
      <w:r>
        <w:rPr>
          <w:rFonts w:hint="eastAsia" w:ascii="宋体" w:hAnsi="宋体" w:cs="宋体"/>
          <w:vertAlign w:val="superscript"/>
          <w:lang w:val="en-US" w:eastAsia="zh-CN"/>
        </w:rPr>
        <w:t>2</w:t>
      </w:r>
      <w:r>
        <w:rPr>
          <w:rFonts w:hint="eastAsia" w:ascii="宋体" w:hAnsi="宋体" w:cs="宋体"/>
          <w:lang w:val="en-US" w:eastAsia="zh-CN"/>
        </w:rPr>
        <w:t>。</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cs="宋体"/>
          <w:lang w:val="en-US" w:eastAsia="zh-CN"/>
        </w:rPr>
      </w:pPr>
      <w:r>
        <w:rPr>
          <w:rFonts w:hint="default" w:ascii="宋体" w:hAnsi="宋体" w:cs="宋体"/>
          <w:lang w:val="en-US" w:eastAsia="zh-CN"/>
        </w:rPr>
        <w:t>6</w:t>
      </w:r>
      <w:r>
        <w:rPr>
          <w:rFonts w:hint="eastAsia" w:ascii="宋体" w:hAnsi="宋体" w:cs="宋体"/>
          <w:lang w:val="en-US" w:eastAsia="zh-CN"/>
        </w:rPr>
        <w:t>、内排土场以往复垦区养护、管护，如平整、补种草籽、雨水冲沟治理等，面积0.</w:t>
      </w:r>
      <w:r>
        <w:rPr>
          <w:rFonts w:hint="default" w:ascii="宋体" w:hAnsi="宋体" w:cs="宋体"/>
          <w:lang w:val="en-US" w:eastAsia="zh-CN"/>
        </w:rPr>
        <w:t>32</w:t>
      </w:r>
      <w:r>
        <w:rPr>
          <w:rFonts w:hint="eastAsia" w:ascii="宋体" w:hAnsi="宋体" w:cs="宋体"/>
          <w:lang w:val="en-US" w:eastAsia="zh-CN"/>
        </w:rPr>
        <w:t>km</w:t>
      </w:r>
      <w:r>
        <w:rPr>
          <w:rFonts w:hint="eastAsia" w:ascii="宋体" w:hAnsi="宋体" w:cs="宋体"/>
          <w:vertAlign w:val="superscript"/>
          <w:lang w:val="en-US" w:eastAsia="zh-CN"/>
        </w:rPr>
        <w:t>2</w:t>
      </w:r>
      <w:r>
        <w:rPr>
          <w:rFonts w:hint="eastAsia" w:ascii="宋体" w:hAnsi="宋体" w:cs="宋体"/>
          <w:lang w:val="en-US" w:eastAsia="zh-CN"/>
        </w:rPr>
        <w:t>。</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lang w:val="en-US" w:eastAsia="zh-CN"/>
        </w:rPr>
      </w:pPr>
      <w:r>
        <w:rPr>
          <w:rFonts w:hint="default" w:ascii="宋体" w:hAnsi="宋体" w:cs="宋体"/>
          <w:lang w:val="en-US" w:eastAsia="zh-CN"/>
        </w:rPr>
        <w:t>7</w:t>
      </w:r>
      <w:r>
        <w:rPr>
          <w:rFonts w:hint="eastAsia" w:ascii="宋体" w:hAnsi="宋体" w:eastAsia="宋体" w:cs="宋体"/>
          <w:lang w:val="en-US" w:eastAsia="zh-CN"/>
        </w:rPr>
        <w:t>、矿山地质环境及土地复垦动态监测，如边坡与滑坡（崩塌）地质灾害监测、含水层影响监测、地形地貌景观监测、水土环境污染等监测等。</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lang w:val="en-US" w:eastAsia="zh-CN"/>
        </w:rPr>
      </w:pPr>
      <w:r>
        <w:rPr>
          <w:rFonts w:hint="default" w:ascii="宋体" w:hAnsi="宋体" w:cs="宋体"/>
          <w:lang w:val="en-US" w:eastAsia="zh-CN"/>
        </w:rPr>
        <w:t>8</w:t>
      </w:r>
      <w:r>
        <w:rPr>
          <w:rFonts w:hint="eastAsia" w:ascii="宋体" w:hAnsi="宋体" w:eastAsia="宋体" w:cs="宋体"/>
          <w:lang w:val="en-US" w:eastAsia="zh-CN"/>
        </w:rPr>
        <w:t>、对易产生安全问题的部位及区域增设警示牌，如排土场、采坑沿线及道路两侧。</w:t>
      </w:r>
    </w:p>
    <w:p>
      <w:pPr>
        <w:pStyle w:val="9"/>
        <w:ind w:firstLine="560"/>
        <w:rPr>
          <w:rFonts w:hint="eastAsia" w:ascii="宋体" w:hAnsi="宋体" w:eastAsia="宋体" w:cs="宋体"/>
        </w:rPr>
      </w:pPr>
      <w:r>
        <w:rPr>
          <w:rFonts w:hint="eastAsia" w:ascii="宋体" w:hAnsi="宋体" w:eastAsia="宋体" w:cs="宋体"/>
        </w:rPr>
        <w:t>（二）本年度矿山地质环境治理与土地复垦区域面积及坐标</w:t>
      </w:r>
    </w:p>
    <w:p>
      <w:pPr>
        <w:pStyle w:val="9"/>
        <w:ind w:firstLine="560"/>
        <w:rPr>
          <w:rFonts w:hint="eastAsia" w:ascii="宋体" w:hAnsi="宋体" w:eastAsia="宋体" w:cs="宋体"/>
          <w:lang w:val="en-US" w:eastAsia="zh-CN"/>
        </w:rPr>
      </w:pPr>
      <w:r>
        <w:rPr>
          <w:rFonts w:hint="eastAsia" w:ascii="宋体" w:hAnsi="宋体" w:eastAsia="宋体" w:cs="宋体"/>
          <w:lang w:val="en-US" w:eastAsia="zh-CN"/>
        </w:rPr>
        <w:t>本年度新增</w:t>
      </w:r>
      <w:r>
        <w:rPr>
          <w:rFonts w:hint="eastAsia" w:ascii="宋体" w:hAnsi="宋体" w:eastAsia="宋体" w:cs="宋体"/>
        </w:rPr>
        <w:t>矿山地质环境治理与土地复垦区域</w:t>
      </w:r>
      <w:r>
        <w:rPr>
          <w:rFonts w:hint="eastAsia" w:ascii="宋体" w:hAnsi="宋体" w:eastAsia="宋体" w:cs="宋体"/>
          <w:lang w:val="en-US" w:eastAsia="zh-CN"/>
        </w:rPr>
        <w:t>为北外排土场治理区域、内排土场治理区域，各区域面积及坐标详见表6-1</w:t>
      </w:r>
      <w:r>
        <w:rPr>
          <w:rFonts w:hint="eastAsia" w:ascii="宋体" w:hAnsi="宋体" w:cs="宋体"/>
          <w:lang w:val="en-US" w:eastAsia="zh-CN"/>
        </w:rPr>
        <w:t>～表6-3</w:t>
      </w:r>
      <w:r>
        <w:rPr>
          <w:rFonts w:hint="eastAsia" w:ascii="宋体" w:hAnsi="宋体" w:eastAsia="宋体" w:cs="宋体"/>
          <w:lang w:val="en-US" w:eastAsia="zh-CN"/>
        </w:rPr>
        <w:t>。</w:t>
      </w:r>
    </w:p>
    <w:p>
      <w:pPr>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w:t>
      </w:r>
      <w:r>
        <w:rPr>
          <w:rFonts w:hint="eastAsia" w:ascii="宋体" w:hAnsi="宋体" w:eastAsia="宋体" w:cs="宋体"/>
          <w:b/>
          <w:bCs/>
          <w:lang w:val="en-US" w:eastAsia="zh-CN"/>
        </w:rPr>
        <w:t>6-1</w:t>
      </w:r>
      <w:r>
        <w:rPr>
          <w:rFonts w:hint="eastAsia" w:ascii="宋体" w:hAnsi="宋体" w:eastAsia="宋体" w:cs="宋体"/>
          <w:b/>
          <w:bCs/>
        </w:rPr>
        <w:t xml:space="preserve">  </w:t>
      </w:r>
      <w:r>
        <w:rPr>
          <w:rFonts w:hint="eastAsia" w:ascii="宋体" w:hAnsi="宋体" w:eastAsia="宋体" w:cs="宋体"/>
          <w:b/>
          <w:bCs/>
          <w:lang w:eastAsia="zh-CN"/>
        </w:rPr>
        <w:t>北外排土场治理</w:t>
      </w:r>
      <w:r>
        <w:rPr>
          <w:rFonts w:hint="eastAsia" w:ascii="宋体" w:hAnsi="宋体" w:eastAsia="宋体" w:cs="宋体"/>
          <w:b/>
          <w:bCs/>
        </w:rPr>
        <w:t>区域拐点坐标表</w:t>
      </w:r>
    </w:p>
    <w:tbl>
      <w:tblPr>
        <w:tblStyle w:val="1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656"/>
        <w:gridCol w:w="1776"/>
        <w:gridCol w:w="760"/>
        <w:gridCol w:w="1656"/>
        <w:gridCol w:w="1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7"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014" w:type="pct"/>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47"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2030" w:type="pct"/>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7"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X</w:t>
            </w:r>
          </w:p>
        </w:tc>
        <w:tc>
          <w:tcPr>
            <w:tcW w:w="104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Y</w:t>
            </w:r>
          </w:p>
        </w:tc>
        <w:tc>
          <w:tcPr>
            <w:tcW w:w="447"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X</w:t>
            </w:r>
          </w:p>
        </w:tc>
        <w:tc>
          <w:tcPr>
            <w:tcW w:w="105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1</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4879831.3722</w:t>
            </w:r>
          </w:p>
        </w:tc>
        <w:tc>
          <w:tcPr>
            <w:tcW w:w="104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38438584.7410</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15</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4879055.4962</w:t>
            </w:r>
          </w:p>
        </w:tc>
        <w:tc>
          <w:tcPr>
            <w:tcW w:w="105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38438652.2659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2</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4879823.8854</w:t>
            </w:r>
          </w:p>
        </w:tc>
        <w:tc>
          <w:tcPr>
            <w:tcW w:w="104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38438568.4917</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16</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4878996.4749</w:t>
            </w:r>
          </w:p>
        </w:tc>
        <w:tc>
          <w:tcPr>
            <w:tcW w:w="105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38438670.4827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4879832.6944</w:t>
            </w:r>
          </w:p>
        </w:tc>
        <w:tc>
          <w:tcPr>
            <w:tcW w:w="104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38438446.2855</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17</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4878964.7179</w:t>
            </w:r>
          </w:p>
        </w:tc>
        <w:tc>
          <w:tcPr>
            <w:tcW w:w="1057" w:type="pct"/>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38438691.4133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4879837.9426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38438183.8075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18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4878954.8795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38438629.5650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4879654.7572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38438176.7807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4878948.5463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38438629.9929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4879648.6634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38438356.2298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4878769.2681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38438632.9391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4879620.7992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38438524.3336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4878725.6705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38438737.7805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4879396.6897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38438532.9348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4878694.4747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38438889.0168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4879225.3165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38438506.0305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4878689.2900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38439123.2485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10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4879214.2968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38438538.7315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4879133.7880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38438755.7572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11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4879201.6947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38438539.2024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25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4879848.5797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38438755.3935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4879195.2176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38438609.5349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26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4879912.3660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38438754.3970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sz w:val="24"/>
                <w:szCs w:val="24"/>
                <w:lang w:val="en-US" w:eastAsia="zh-CN"/>
              </w:rPr>
            </w:pPr>
            <w:r>
              <w:rPr>
                <w:rFonts w:hint="default" w:ascii="宋体" w:hAnsi="宋体" w:cs="宋体"/>
                <w:sz w:val="24"/>
                <w:szCs w:val="24"/>
                <w:lang w:val="en-US" w:eastAsia="zh-CN"/>
              </w:rPr>
              <w:t>13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4879144.4535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38438608.6945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27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4879916.2218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38438601.4774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14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4879111.4419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38438616.2556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28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4879834.0000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38438600.7972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rPr>
              <w:t>治理面积</w:t>
            </w:r>
            <w:r>
              <w:rPr>
                <w:rFonts w:hint="eastAsia" w:ascii="宋体" w:hAnsi="宋体" w:eastAsia="宋体" w:cs="宋体"/>
                <w:lang w:val="en-US"/>
              </w:rPr>
              <w:t>0.</w:t>
            </w:r>
            <w:r>
              <w:rPr>
                <w:rFonts w:hint="default" w:ascii="宋体" w:hAnsi="宋体" w:cs="宋体"/>
                <w:lang w:val="en-US"/>
              </w:rPr>
              <w:t>36</w:t>
            </w:r>
            <w:r>
              <w:rPr>
                <w:rFonts w:hint="eastAsia" w:ascii="宋体" w:hAnsi="宋体" w:eastAsia="宋体" w:cs="宋体"/>
              </w:rPr>
              <w:t>km</w:t>
            </w:r>
            <w:r>
              <w:rPr>
                <w:rFonts w:hint="eastAsia" w:ascii="宋体" w:hAnsi="宋体" w:eastAsia="宋体" w:cs="宋体"/>
                <w:vertAlign w:val="superscript"/>
              </w:rPr>
              <w:t>2</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ascii="宋体" w:hAnsi="宋体" w:eastAsia="宋体" w:cs="宋体"/>
          <w:b/>
          <w:bCs/>
        </w:rPr>
      </w:pPr>
      <w:r>
        <w:rPr>
          <w:rFonts w:hint="eastAsia" w:ascii="宋体" w:hAnsi="宋体" w:eastAsia="宋体" w:cs="宋体"/>
          <w:b/>
          <w:bCs/>
        </w:rPr>
        <w:t>表</w:t>
      </w:r>
      <w:r>
        <w:rPr>
          <w:rFonts w:hint="eastAsia" w:ascii="宋体" w:hAnsi="宋体" w:eastAsia="宋体" w:cs="宋体"/>
          <w:b/>
          <w:bCs/>
          <w:lang w:val="en-US" w:eastAsia="zh-CN"/>
        </w:rPr>
        <w:t>6-</w:t>
      </w:r>
      <w:r>
        <w:rPr>
          <w:rFonts w:hint="default" w:ascii="宋体" w:hAnsi="宋体" w:cs="宋体"/>
          <w:b/>
          <w:bCs/>
          <w:lang w:val="en-US" w:eastAsia="zh-CN"/>
        </w:rPr>
        <w:t>2</w:t>
      </w:r>
      <w:r>
        <w:rPr>
          <w:rFonts w:hint="eastAsia" w:ascii="宋体" w:hAnsi="宋体" w:eastAsia="宋体" w:cs="宋体"/>
          <w:b/>
          <w:bCs/>
        </w:rPr>
        <w:t xml:space="preserve">  </w:t>
      </w:r>
      <w:r>
        <w:rPr>
          <w:rFonts w:hint="eastAsia" w:ascii="宋体" w:hAnsi="宋体" w:eastAsia="宋体" w:cs="宋体"/>
          <w:b/>
          <w:bCs/>
          <w:lang w:eastAsia="zh-CN"/>
        </w:rPr>
        <w:t>北外排土场</w:t>
      </w:r>
      <w:r>
        <w:rPr>
          <w:rFonts w:hint="eastAsia" w:ascii="宋体" w:hAnsi="宋体" w:eastAsia="宋体" w:cs="宋体"/>
          <w:b/>
          <w:bCs/>
          <w:lang w:val="en-US" w:eastAsia="zh-CN"/>
        </w:rPr>
        <w:t>以往</w:t>
      </w:r>
      <w:r>
        <w:rPr>
          <w:rFonts w:hint="eastAsia" w:ascii="宋体" w:hAnsi="宋体" w:eastAsia="宋体" w:cs="宋体"/>
          <w:b/>
          <w:bCs/>
          <w:lang w:eastAsia="zh-CN"/>
        </w:rPr>
        <w:t>治理</w:t>
      </w:r>
      <w:r>
        <w:rPr>
          <w:rFonts w:hint="eastAsia" w:ascii="宋体" w:hAnsi="宋体" w:eastAsia="宋体" w:cs="宋体"/>
          <w:b/>
          <w:bCs/>
        </w:rPr>
        <w:t>区域</w:t>
      </w:r>
      <w:r>
        <w:rPr>
          <w:rFonts w:hint="eastAsia" w:ascii="宋体" w:hAnsi="宋体" w:eastAsia="宋体" w:cs="宋体"/>
          <w:b/>
          <w:bCs/>
          <w:lang w:eastAsia="zh-CN"/>
        </w:rPr>
        <w:t>管护范围</w:t>
      </w:r>
      <w:r>
        <w:rPr>
          <w:rFonts w:hint="eastAsia" w:ascii="宋体" w:hAnsi="宋体" w:eastAsia="宋体" w:cs="宋体"/>
          <w:b/>
          <w:bCs/>
        </w:rPr>
        <w:t>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9"/>
        <w:gridCol w:w="1702"/>
        <w:gridCol w:w="1761"/>
        <w:gridCol w:w="832"/>
        <w:gridCol w:w="1703"/>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1"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4879201.66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38438539.18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4879313.09</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38437770.61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4879214.3</w:t>
            </w:r>
            <w:r>
              <w:rPr>
                <w:rFonts w:hint="eastAsia" w:ascii="宋体" w:hAnsi="宋体" w:eastAsia="宋体" w:cs="宋体"/>
                <w:szCs w:val="24"/>
              </w:rPr>
              <w:t>0</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38438538.73</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4879300.01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38437695.31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4879225.25</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38438506.02</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4879270</w:t>
            </w:r>
            <w:r>
              <w:rPr>
                <w:rFonts w:hint="eastAsia" w:ascii="宋体" w:hAnsi="宋体" w:eastAsia="宋体" w:cs="宋体"/>
                <w:szCs w:val="24"/>
              </w:rPr>
              <w:t>.00</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38437672.45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4879395.42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38438532.28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4879241.57</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38437638.6</w:t>
            </w:r>
            <w:r>
              <w:rPr>
                <w:rFonts w:hint="eastAsia" w:ascii="宋体" w:hAnsi="宋体" w:eastAsia="宋体" w:cs="宋体"/>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4879451.92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38438530.28</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4879198.21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38437628.75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4879620.73</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38438524.27</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22</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4879194.58</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38437623.42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4879648.96</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38438356.59</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23</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4879190.94</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38437618.1</w:t>
            </w:r>
            <w:r>
              <w:rPr>
                <w:rFonts w:hint="eastAsia" w:ascii="宋体" w:hAnsi="宋体" w:eastAsia="宋体" w:cs="宋体"/>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4879655.42</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38438145.2</w:t>
            </w:r>
            <w:r>
              <w:rPr>
                <w:rFonts w:hint="eastAsia" w:ascii="宋体" w:hAnsi="宋体" w:eastAsia="宋体" w:cs="宋体"/>
                <w:szCs w:val="24"/>
              </w:rPr>
              <w:t>0</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24</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4878984.91</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38438135.57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99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4879653.67</w:t>
            </w:r>
          </w:p>
        </w:tc>
        <w:tc>
          <w:tcPr>
            <w:tcW w:w="103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38438093.76</w:t>
            </w:r>
          </w:p>
        </w:tc>
        <w:tc>
          <w:tcPr>
            <w:tcW w:w="488"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25</w:t>
            </w:r>
          </w:p>
        </w:tc>
        <w:tc>
          <w:tcPr>
            <w:tcW w:w="999"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4878945.13</w:t>
            </w:r>
          </w:p>
        </w:tc>
        <w:tc>
          <w:tcPr>
            <w:tcW w:w="935"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38438569.33</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ascii="宋体" w:hAnsi="宋体" w:eastAsia="宋体" w:cs="宋体"/>
          <w:b/>
          <w:bCs/>
        </w:rPr>
      </w:pPr>
      <w:r>
        <w:rPr>
          <w:rFonts w:hint="eastAsia" w:ascii="宋体" w:hAnsi="宋体" w:cs="宋体"/>
          <w:b/>
          <w:bCs/>
          <w:lang w:eastAsia="zh-CN"/>
        </w:rPr>
        <w:t>（续）</w:t>
      </w:r>
      <w:r>
        <w:rPr>
          <w:rFonts w:hint="eastAsia" w:ascii="宋体" w:hAnsi="宋体" w:eastAsia="宋体" w:cs="宋体"/>
          <w:b/>
          <w:bCs/>
        </w:rPr>
        <w:t>表</w:t>
      </w:r>
      <w:r>
        <w:rPr>
          <w:rFonts w:hint="eastAsia" w:ascii="宋体" w:hAnsi="宋体" w:eastAsia="宋体" w:cs="宋体"/>
          <w:b/>
          <w:bCs/>
          <w:lang w:val="en-US" w:eastAsia="zh-CN"/>
        </w:rPr>
        <w:t>6-</w:t>
      </w:r>
      <w:r>
        <w:rPr>
          <w:rFonts w:hint="default" w:ascii="宋体" w:hAnsi="宋体" w:cs="宋体"/>
          <w:b/>
          <w:bCs/>
          <w:lang w:val="en-US" w:eastAsia="zh-CN"/>
        </w:rPr>
        <w:t>2</w:t>
      </w:r>
      <w:r>
        <w:rPr>
          <w:rFonts w:hint="eastAsia" w:ascii="宋体" w:hAnsi="宋体" w:eastAsia="宋体" w:cs="宋体"/>
          <w:b/>
          <w:bCs/>
        </w:rPr>
        <w:t xml:space="preserve">  </w:t>
      </w:r>
      <w:r>
        <w:rPr>
          <w:rFonts w:hint="eastAsia" w:ascii="宋体" w:hAnsi="宋体" w:eastAsia="宋体" w:cs="宋体"/>
          <w:b/>
          <w:bCs/>
          <w:lang w:eastAsia="zh-CN"/>
        </w:rPr>
        <w:t>北外排土场</w:t>
      </w:r>
      <w:r>
        <w:rPr>
          <w:rFonts w:hint="eastAsia" w:ascii="宋体" w:hAnsi="宋体" w:eastAsia="宋体" w:cs="宋体"/>
          <w:b/>
          <w:bCs/>
          <w:lang w:val="en-US" w:eastAsia="zh-CN"/>
        </w:rPr>
        <w:t>以往</w:t>
      </w:r>
      <w:r>
        <w:rPr>
          <w:rFonts w:hint="eastAsia" w:ascii="宋体" w:hAnsi="宋体" w:eastAsia="宋体" w:cs="宋体"/>
          <w:b/>
          <w:bCs/>
          <w:lang w:eastAsia="zh-CN"/>
        </w:rPr>
        <w:t>治理</w:t>
      </w:r>
      <w:r>
        <w:rPr>
          <w:rFonts w:hint="eastAsia" w:ascii="宋体" w:hAnsi="宋体" w:eastAsia="宋体" w:cs="宋体"/>
          <w:b/>
          <w:bCs/>
        </w:rPr>
        <w:t>区域</w:t>
      </w:r>
      <w:r>
        <w:rPr>
          <w:rFonts w:hint="eastAsia" w:ascii="宋体" w:hAnsi="宋体" w:eastAsia="宋体" w:cs="宋体"/>
          <w:b/>
          <w:bCs/>
          <w:lang w:eastAsia="zh-CN"/>
        </w:rPr>
        <w:t>管护范围</w:t>
      </w:r>
      <w:r>
        <w:rPr>
          <w:rFonts w:hint="eastAsia" w:ascii="宋体" w:hAnsi="宋体" w:eastAsia="宋体" w:cs="宋体"/>
          <w:b/>
          <w:bCs/>
        </w:rPr>
        <w:t>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6"/>
        <w:gridCol w:w="3"/>
        <w:gridCol w:w="1698"/>
        <w:gridCol w:w="5"/>
        <w:gridCol w:w="1756"/>
        <w:gridCol w:w="7"/>
        <w:gridCol w:w="827"/>
        <w:gridCol w:w="5"/>
        <w:gridCol w:w="1698"/>
        <w:gridCol w:w="5"/>
        <w:gridCol w:w="1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3" w:type="pct"/>
            <w:gridSpan w:val="4"/>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88"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32" w:type="pct"/>
            <w:gridSpan w:val="3"/>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6"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88"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93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4879652.83</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38438072.75</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26</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4878965.04</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38438691.38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4879220.17</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38438337.34</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27</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4878996.2</w:t>
            </w:r>
            <w:r>
              <w:rPr>
                <w:rFonts w:hint="eastAsia" w:ascii="宋体" w:hAnsi="宋体" w:eastAsia="宋体" w:cs="宋体"/>
                <w:szCs w:val="24"/>
              </w:rPr>
              <w:t>0</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38438670.6</w:t>
            </w:r>
            <w:r>
              <w:rPr>
                <w:rFonts w:hint="eastAsia" w:ascii="宋体" w:hAnsi="宋体" w:eastAsia="宋体" w:cs="宋体"/>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4879233.22</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38438195.06</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28</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4879012.16</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38438664.82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4879342</w:t>
            </w:r>
            <w:r>
              <w:rPr>
                <w:rFonts w:hint="eastAsia" w:ascii="宋体" w:hAnsi="宋体" w:eastAsia="宋体" w:cs="宋体"/>
                <w:szCs w:val="24"/>
              </w:rPr>
              <w:t>.00</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38437921.83</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29</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4879055.25</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38438651.98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4879397.44</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38437909.04</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30</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4879111.43</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38438616.31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4879392.93</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38437893.85</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31</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4879144.37</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38438608.72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99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4879342.91</w:t>
            </w:r>
          </w:p>
        </w:tc>
        <w:tc>
          <w:tcPr>
            <w:tcW w:w="103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38437782.48</w:t>
            </w:r>
          </w:p>
        </w:tc>
        <w:tc>
          <w:tcPr>
            <w:tcW w:w="488"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32</w:t>
            </w:r>
          </w:p>
        </w:tc>
        <w:tc>
          <w:tcPr>
            <w:tcW w:w="999"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4879195.21</w:t>
            </w:r>
          </w:p>
        </w:tc>
        <w:tc>
          <w:tcPr>
            <w:tcW w:w="936"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38438609.45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1"/>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北外排土场</w:t>
            </w:r>
            <w:r>
              <w:rPr>
                <w:rFonts w:hint="eastAsia" w:ascii="宋体" w:hAnsi="宋体" w:cs="宋体"/>
                <w:sz w:val="24"/>
                <w:szCs w:val="24"/>
                <w:lang w:eastAsia="zh-CN"/>
              </w:rPr>
              <w:t>以往</w:t>
            </w:r>
            <w:r>
              <w:rPr>
                <w:rFonts w:hint="eastAsia" w:ascii="宋体" w:hAnsi="宋体" w:eastAsia="宋体" w:cs="宋体"/>
                <w:sz w:val="24"/>
                <w:szCs w:val="24"/>
              </w:rPr>
              <w:t>治理区域</w:t>
            </w:r>
            <w:r>
              <w:rPr>
                <w:rFonts w:hint="eastAsia" w:ascii="宋体" w:hAnsi="宋体" w:cs="宋体"/>
                <w:sz w:val="24"/>
                <w:szCs w:val="24"/>
                <w:lang w:eastAsia="zh-CN"/>
              </w:rPr>
              <w:t>管护</w:t>
            </w:r>
            <w:r>
              <w:rPr>
                <w:rFonts w:hint="eastAsia" w:ascii="宋体" w:hAnsi="宋体" w:eastAsia="宋体" w:cs="宋体"/>
                <w:sz w:val="24"/>
                <w:szCs w:val="24"/>
              </w:rPr>
              <w:t>面积约</w:t>
            </w:r>
            <w:r>
              <w:rPr>
                <w:rFonts w:hint="eastAsia" w:ascii="宋体" w:hAnsi="宋体" w:cs="宋体"/>
                <w:sz w:val="24"/>
                <w:szCs w:val="24"/>
                <w:lang w:val="en-US" w:eastAsia="zh-CN"/>
              </w:rPr>
              <w:t>0.</w:t>
            </w:r>
            <w:r>
              <w:rPr>
                <w:rFonts w:hint="eastAsia" w:ascii="宋体" w:hAnsi="宋体" w:eastAsia="宋体" w:cs="宋体"/>
                <w:sz w:val="24"/>
                <w:szCs w:val="24"/>
              </w:rPr>
              <w:t>38</w:t>
            </w:r>
            <w:r>
              <w:rPr>
                <w:rFonts w:hint="eastAsia" w:ascii="宋体" w:hAnsi="宋体" w:eastAsia="宋体" w:cs="宋体"/>
              </w:rPr>
              <w:t>km</w:t>
            </w:r>
            <w:r>
              <w:rPr>
                <w:rFonts w:hint="eastAsia" w:ascii="宋体" w:hAnsi="宋体" w:eastAsia="宋体" w:cs="宋体"/>
                <w:vertAlign w:val="superscript"/>
              </w:rPr>
              <w:t>2</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ascii="宋体" w:hAnsi="宋体" w:eastAsia="宋体" w:cs="宋体"/>
          <w:b/>
          <w:bCs/>
        </w:rPr>
      </w:pPr>
      <w:r>
        <w:rPr>
          <w:rFonts w:hint="eastAsia" w:ascii="宋体" w:hAnsi="宋体" w:eastAsia="宋体" w:cs="宋体"/>
          <w:b/>
          <w:bCs/>
        </w:rPr>
        <w:t>表</w:t>
      </w:r>
      <w:r>
        <w:rPr>
          <w:rFonts w:hint="eastAsia" w:ascii="宋体" w:hAnsi="宋体" w:eastAsia="宋体" w:cs="宋体"/>
          <w:b/>
          <w:bCs/>
          <w:lang w:val="en-US" w:eastAsia="zh-CN"/>
        </w:rPr>
        <w:t>6-</w:t>
      </w:r>
      <w:r>
        <w:rPr>
          <w:rFonts w:hint="eastAsia" w:ascii="宋体" w:hAnsi="宋体" w:cs="宋体"/>
          <w:b/>
          <w:bCs/>
          <w:lang w:val="en-US" w:eastAsia="zh-CN"/>
        </w:rPr>
        <w:t>3</w:t>
      </w:r>
      <w:r>
        <w:rPr>
          <w:rFonts w:hint="eastAsia" w:ascii="宋体" w:hAnsi="宋体" w:eastAsia="宋体" w:cs="宋体"/>
          <w:b/>
          <w:bCs/>
        </w:rPr>
        <w:t xml:space="preserve">  </w:t>
      </w:r>
      <w:r>
        <w:rPr>
          <w:rFonts w:hint="eastAsia" w:ascii="宋体" w:hAnsi="宋体" w:cs="宋体"/>
          <w:b/>
          <w:bCs/>
          <w:lang w:eastAsia="zh-CN"/>
        </w:rPr>
        <w:t>内</w:t>
      </w:r>
      <w:r>
        <w:rPr>
          <w:rFonts w:hint="eastAsia" w:ascii="宋体" w:hAnsi="宋体" w:eastAsia="宋体" w:cs="宋体"/>
          <w:b/>
          <w:bCs/>
          <w:lang w:eastAsia="zh-CN"/>
        </w:rPr>
        <w:t>排土场</w:t>
      </w:r>
      <w:r>
        <w:rPr>
          <w:rFonts w:hint="eastAsia" w:ascii="宋体" w:hAnsi="宋体" w:eastAsia="宋体" w:cs="宋体"/>
          <w:b/>
          <w:bCs/>
          <w:lang w:val="en-US" w:eastAsia="zh-CN"/>
        </w:rPr>
        <w:t>以往</w:t>
      </w:r>
      <w:r>
        <w:rPr>
          <w:rFonts w:hint="eastAsia" w:ascii="宋体" w:hAnsi="宋体" w:eastAsia="宋体" w:cs="宋体"/>
          <w:b/>
          <w:bCs/>
          <w:lang w:eastAsia="zh-CN"/>
        </w:rPr>
        <w:t>治理</w:t>
      </w:r>
      <w:r>
        <w:rPr>
          <w:rFonts w:hint="eastAsia" w:ascii="宋体" w:hAnsi="宋体" w:eastAsia="宋体" w:cs="宋体"/>
          <w:b/>
          <w:bCs/>
        </w:rPr>
        <w:t>区域</w:t>
      </w:r>
      <w:r>
        <w:rPr>
          <w:rFonts w:hint="eastAsia" w:ascii="宋体" w:hAnsi="宋体" w:eastAsia="宋体" w:cs="宋体"/>
          <w:b/>
          <w:bCs/>
          <w:lang w:eastAsia="zh-CN"/>
        </w:rPr>
        <w:t>管护范围</w:t>
      </w:r>
      <w:r>
        <w:rPr>
          <w:rFonts w:hint="eastAsia" w:ascii="宋体" w:hAnsi="宋体" w:eastAsia="宋体" w:cs="宋体"/>
          <w:b/>
          <w:bCs/>
        </w:rPr>
        <w:t>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8"/>
        <w:gridCol w:w="1656"/>
        <w:gridCol w:w="1778"/>
        <w:gridCol w:w="781"/>
        <w:gridCol w:w="1657"/>
        <w:gridCol w:w="1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4"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58" w:type="pct"/>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7"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71"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4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58" w:type="pct"/>
            <w:vMerge w:val="continue"/>
            <w:vAlign w:val="center"/>
          </w:tcPr>
          <w:p>
            <w:pPr>
              <w:spacing w:line="0" w:lineRule="atLeast"/>
              <w:ind w:firstLine="0" w:firstLineChars="0"/>
              <w:jc w:val="center"/>
              <w:rPr>
                <w:rFonts w:hint="eastAsia" w:ascii="宋体" w:hAnsi="宋体" w:eastAsia="宋体" w:cs="宋体"/>
                <w:sz w:val="24"/>
                <w:szCs w:val="24"/>
              </w:rPr>
            </w:pPr>
          </w:p>
        </w:tc>
        <w:tc>
          <w:tcPr>
            <w:tcW w:w="972"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44"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4878301.3206</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38439181.2992</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28</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4877406.7801</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38439212.1026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971" w:type="pct"/>
            <w:vAlign w:val="center"/>
          </w:tcPr>
          <w:p>
            <w:pPr>
              <w:spacing w:line="0" w:lineRule="atLeas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4877927.9953</w:t>
            </w:r>
          </w:p>
        </w:tc>
        <w:tc>
          <w:tcPr>
            <w:tcW w:w="1042" w:type="pct"/>
            <w:vAlign w:val="center"/>
          </w:tcPr>
          <w:p>
            <w:pPr>
              <w:spacing w:line="0" w:lineRule="atLeas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38439173.3188</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29</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4877404.5745</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38439256.8691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4877887.1280</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38439172.4769</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30</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4877403.7387</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38439290.6214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4877859.9481</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38439172.5519</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31</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4877403.2852</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38439308.0621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4877842.1447</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38439169.8556</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32</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4877402.9097</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38439327.0945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4877816.4179</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38439168.9423</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33</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4877402.6882</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38439348.6197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7</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4877790.3028</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38439169.7946</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34</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4877402.6538</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38439358.1132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8</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4877757.6398</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38439168.4791</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35</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4877402.2495</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38439390.2955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9</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4877727.7907</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38439166.2304</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36</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4877401.1647</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38439423.2347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10</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4877689.8809</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38439166.6385</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37</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4877401.0890</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38439444.6479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11</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4877662.1121</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38439167.5967</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38</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4877400.7332</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38439467.0440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12</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4877653.1024</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38439167.9824</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39</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4877399.7026</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38439499.8049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13</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4877618.6160</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38439162.3382</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40</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4877407.5796</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38439500.2016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14</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4877602.0462</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38439157.3602</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41</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4877426.4433</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38439503.1388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15</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4877600.9165</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38439142.3842</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42</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4877450.1766</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38439503.5688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16</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4877602.8577</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38439111.1276</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43</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4877515.5360</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38439505.4965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17</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4877609.2478</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38439082.7256</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44</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4877564.7239</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38439506.8725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18</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4877602.6051</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38439081.9954</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45</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4877610.0615</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38439508.1573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19</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4877565.9648</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38439083.2490</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46</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4877660.5272</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38439510.2839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0"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20</w:t>
            </w:r>
          </w:p>
        </w:tc>
        <w:tc>
          <w:tcPr>
            <w:tcW w:w="971"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4877555.9815</w:t>
            </w:r>
          </w:p>
        </w:tc>
        <w:tc>
          <w:tcPr>
            <w:tcW w:w="104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38439093.3207</w:t>
            </w:r>
          </w:p>
        </w:tc>
        <w:tc>
          <w:tcPr>
            <w:tcW w:w="458"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47</w:t>
            </w:r>
          </w:p>
        </w:tc>
        <w:tc>
          <w:tcPr>
            <w:tcW w:w="972"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4877706.8863</w:t>
            </w:r>
          </w:p>
        </w:tc>
        <w:tc>
          <w:tcPr>
            <w:tcW w:w="1044" w:type="pct"/>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38439512.4426</w:t>
            </w:r>
          </w:p>
        </w:tc>
      </w:tr>
    </w:tbl>
    <w:p>
      <w:pPr>
        <w:keepNext w:val="0"/>
        <w:keepLines w:val="0"/>
        <w:pageBreakBefore w:val="0"/>
        <w:widowControl w:val="0"/>
        <w:kinsoku/>
        <w:wordWrap/>
        <w:overflowPunct/>
        <w:topLinePunct w:val="0"/>
        <w:autoSpaceDE/>
        <w:autoSpaceDN/>
        <w:bidi w:val="0"/>
        <w:adjustRightInd/>
        <w:snapToGrid/>
        <w:spacing w:before="157" w:beforeLines="50" w:line="0" w:lineRule="atLeast"/>
        <w:ind w:firstLine="0" w:firstLineChars="0"/>
        <w:jc w:val="center"/>
        <w:textAlignment w:val="auto"/>
        <w:rPr>
          <w:rFonts w:hint="eastAsia" w:ascii="宋体" w:hAnsi="宋体" w:eastAsia="宋体" w:cs="宋体"/>
          <w:b/>
          <w:bCs/>
        </w:rPr>
      </w:pPr>
      <w:r>
        <w:rPr>
          <w:rFonts w:hint="eastAsia" w:ascii="宋体" w:hAnsi="宋体" w:cs="宋体"/>
          <w:b/>
          <w:bCs/>
          <w:lang w:eastAsia="zh-CN"/>
        </w:rPr>
        <w:t>（续）</w:t>
      </w:r>
      <w:r>
        <w:rPr>
          <w:rFonts w:hint="eastAsia" w:ascii="宋体" w:hAnsi="宋体" w:eastAsia="宋体" w:cs="宋体"/>
          <w:b/>
          <w:bCs/>
        </w:rPr>
        <w:t>表</w:t>
      </w:r>
      <w:r>
        <w:rPr>
          <w:rFonts w:hint="eastAsia" w:ascii="宋体" w:hAnsi="宋体" w:eastAsia="宋体" w:cs="宋体"/>
          <w:b/>
          <w:bCs/>
          <w:lang w:val="en-US" w:eastAsia="zh-CN"/>
        </w:rPr>
        <w:t>6-</w:t>
      </w:r>
      <w:r>
        <w:rPr>
          <w:rFonts w:hint="eastAsia" w:ascii="宋体" w:hAnsi="宋体" w:cs="宋体"/>
          <w:b/>
          <w:bCs/>
          <w:lang w:val="en-US" w:eastAsia="zh-CN"/>
        </w:rPr>
        <w:t>3</w:t>
      </w:r>
      <w:r>
        <w:rPr>
          <w:rFonts w:hint="eastAsia" w:ascii="宋体" w:hAnsi="宋体" w:eastAsia="宋体" w:cs="宋体"/>
          <w:b/>
          <w:bCs/>
        </w:rPr>
        <w:t xml:space="preserve">  </w:t>
      </w:r>
      <w:r>
        <w:rPr>
          <w:rFonts w:hint="eastAsia" w:ascii="宋体" w:hAnsi="宋体" w:cs="宋体"/>
          <w:b/>
          <w:bCs/>
          <w:lang w:eastAsia="zh-CN"/>
        </w:rPr>
        <w:t>内</w:t>
      </w:r>
      <w:r>
        <w:rPr>
          <w:rFonts w:hint="eastAsia" w:ascii="宋体" w:hAnsi="宋体" w:eastAsia="宋体" w:cs="宋体"/>
          <w:b/>
          <w:bCs/>
          <w:lang w:eastAsia="zh-CN"/>
        </w:rPr>
        <w:t>排土场</w:t>
      </w:r>
      <w:r>
        <w:rPr>
          <w:rFonts w:hint="eastAsia" w:ascii="宋体" w:hAnsi="宋体" w:eastAsia="宋体" w:cs="宋体"/>
          <w:b/>
          <w:bCs/>
          <w:lang w:val="en-US" w:eastAsia="zh-CN"/>
        </w:rPr>
        <w:t>以往</w:t>
      </w:r>
      <w:r>
        <w:rPr>
          <w:rFonts w:hint="eastAsia" w:ascii="宋体" w:hAnsi="宋体" w:eastAsia="宋体" w:cs="宋体"/>
          <w:b/>
          <w:bCs/>
          <w:lang w:eastAsia="zh-CN"/>
        </w:rPr>
        <w:t>治理</w:t>
      </w:r>
      <w:r>
        <w:rPr>
          <w:rFonts w:hint="eastAsia" w:ascii="宋体" w:hAnsi="宋体" w:eastAsia="宋体" w:cs="宋体"/>
          <w:b/>
          <w:bCs/>
        </w:rPr>
        <w:t>区域</w:t>
      </w:r>
      <w:r>
        <w:rPr>
          <w:rFonts w:hint="eastAsia" w:ascii="宋体" w:hAnsi="宋体" w:eastAsia="宋体" w:cs="宋体"/>
          <w:b/>
          <w:bCs/>
          <w:lang w:eastAsia="zh-CN"/>
        </w:rPr>
        <w:t>管护范围</w:t>
      </w:r>
      <w:r>
        <w:rPr>
          <w:rFonts w:hint="eastAsia" w:ascii="宋体" w:hAnsi="宋体" w:eastAsia="宋体" w:cs="宋体"/>
          <w:b/>
          <w:bCs/>
        </w:rPr>
        <w:t>拐点坐标表</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4"/>
        <w:gridCol w:w="1652"/>
        <w:gridCol w:w="4"/>
        <w:gridCol w:w="1773"/>
        <w:gridCol w:w="6"/>
        <w:gridCol w:w="775"/>
        <w:gridCol w:w="4"/>
        <w:gridCol w:w="1653"/>
        <w:gridCol w:w="4"/>
        <w:gridCol w:w="1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2"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5" w:type="pct"/>
            <w:gridSpan w:val="4"/>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c>
          <w:tcPr>
            <w:tcW w:w="457" w:type="pct"/>
            <w:gridSpan w:val="2"/>
            <w:vMerge w:val="restar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15" w:type="pct"/>
            <w:gridSpan w:val="3"/>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2"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71"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43"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c>
          <w:tcPr>
            <w:tcW w:w="457" w:type="pct"/>
            <w:gridSpan w:val="2"/>
            <w:vMerge w:val="continue"/>
            <w:vAlign w:val="center"/>
          </w:tcPr>
          <w:p>
            <w:pPr>
              <w:spacing w:line="0" w:lineRule="atLeast"/>
              <w:ind w:firstLine="0" w:firstLineChars="0"/>
              <w:jc w:val="center"/>
              <w:rPr>
                <w:rFonts w:hint="eastAsia" w:ascii="宋体" w:hAnsi="宋体" w:eastAsia="宋体" w:cs="宋体"/>
                <w:sz w:val="24"/>
                <w:szCs w:val="24"/>
              </w:rPr>
            </w:pPr>
          </w:p>
        </w:tc>
        <w:tc>
          <w:tcPr>
            <w:tcW w:w="972" w:type="pct"/>
            <w:gridSpan w:val="2"/>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X</w:t>
            </w:r>
          </w:p>
        </w:tc>
        <w:tc>
          <w:tcPr>
            <w:tcW w:w="1043" w:type="pct"/>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21</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4877544.7020</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38439093.5748</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48</w:t>
            </w:r>
          </w:p>
        </w:tc>
        <w:tc>
          <w:tcPr>
            <w:tcW w:w="97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4877753.4225</w:t>
            </w:r>
          </w:p>
        </w:tc>
        <w:tc>
          <w:tcPr>
            <w:tcW w:w="1045"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38439513.8199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22</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4877498.6624</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38439092.8520</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49</w:t>
            </w:r>
          </w:p>
        </w:tc>
        <w:tc>
          <w:tcPr>
            <w:tcW w:w="97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4877797.5680</w:t>
            </w:r>
          </w:p>
        </w:tc>
        <w:tc>
          <w:tcPr>
            <w:tcW w:w="1045"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38439516.3031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23</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4877453.1911</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38439091.6126</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50</w:t>
            </w:r>
          </w:p>
        </w:tc>
        <w:tc>
          <w:tcPr>
            <w:tcW w:w="97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4877829.4236</w:t>
            </w:r>
          </w:p>
        </w:tc>
        <w:tc>
          <w:tcPr>
            <w:tcW w:w="1045"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38439516.7492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24</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4877428.9687</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38439088.7462</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51</w:t>
            </w:r>
          </w:p>
        </w:tc>
        <w:tc>
          <w:tcPr>
            <w:tcW w:w="97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4877849.1697</w:t>
            </w:r>
          </w:p>
        </w:tc>
        <w:tc>
          <w:tcPr>
            <w:tcW w:w="1045"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38439516.7691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25</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4877418.7866</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38439087.2161</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52</w:t>
            </w:r>
          </w:p>
        </w:tc>
        <w:tc>
          <w:tcPr>
            <w:tcW w:w="972" w:type="pct"/>
            <w:gridSpan w:val="2"/>
            <w:vAlign w:val="center"/>
          </w:tcPr>
          <w:p>
            <w:pPr>
              <w:spacing w:line="0" w:lineRule="atLeas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4877888.1785</w:t>
            </w:r>
          </w:p>
        </w:tc>
        <w:tc>
          <w:tcPr>
            <w:tcW w:w="1045" w:type="pct"/>
            <w:gridSpan w:val="2"/>
            <w:vAlign w:val="center"/>
          </w:tcPr>
          <w:p>
            <w:pPr>
              <w:spacing w:line="0" w:lineRule="atLeast"/>
              <w:ind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38439518.0000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26</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4877414.8819</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38439119.3763</w:t>
            </w:r>
          </w:p>
        </w:tc>
        <w:tc>
          <w:tcPr>
            <w:tcW w:w="458" w:type="pct"/>
            <w:gridSpan w:val="2"/>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53</w:t>
            </w:r>
          </w:p>
        </w:tc>
        <w:tc>
          <w:tcPr>
            <w:tcW w:w="97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4878288.8244</w:t>
            </w:r>
          </w:p>
        </w:tc>
        <w:tc>
          <w:tcPr>
            <w:tcW w:w="1045"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38439529.6405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9" w:type="pct"/>
            <w:vAlign w:val="center"/>
          </w:tcPr>
          <w:p>
            <w:pPr>
              <w:spacing w:line="0" w:lineRule="atLeast"/>
              <w:ind w:firstLine="0" w:firstLineChars="0"/>
              <w:jc w:val="center"/>
              <w:rPr>
                <w:rFonts w:hint="default" w:ascii="宋体" w:hAnsi="宋体" w:eastAsia="宋体" w:cs="宋体"/>
                <w:sz w:val="24"/>
                <w:szCs w:val="24"/>
                <w:lang w:val="en-US"/>
              </w:rPr>
            </w:pPr>
            <w:r>
              <w:rPr>
                <w:rFonts w:hint="default" w:ascii="宋体" w:hAnsi="宋体" w:cs="宋体"/>
                <w:sz w:val="24"/>
                <w:szCs w:val="24"/>
                <w:lang w:val="en-US"/>
              </w:rPr>
              <w:t>27</w:t>
            </w:r>
          </w:p>
        </w:tc>
        <w:tc>
          <w:tcPr>
            <w:tcW w:w="971"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4877409.9807</w:t>
            </w:r>
          </w:p>
        </w:tc>
        <w:tc>
          <w:tcPr>
            <w:tcW w:w="1042" w:type="pct"/>
            <w:gridSpan w:val="2"/>
            <w:vAlign w:val="center"/>
          </w:tcPr>
          <w:p>
            <w:pPr>
              <w:spacing w:line="0" w:lineRule="atLeas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38439171.0837</w:t>
            </w:r>
          </w:p>
        </w:tc>
        <w:tc>
          <w:tcPr>
            <w:tcW w:w="2475" w:type="pct"/>
            <w:gridSpan w:val="6"/>
            <w:vAlign w:val="center"/>
          </w:tcPr>
          <w:p>
            <w:pPr>
              <w:spacing w:line="0" w:lineRule="atLeast"/>
              <w:ind w:firstLine="0" w:firstLineChars="0"/>
              <w:jc w:val="center"/>
              <w:rPr>
                <w:rFonts w:hint="eastAsia" w:ascii="宋体" w:hAnsi="宋体" w:eastAsia="宋体" w:cs="宋体"/>
                <w:sz w:val="24"/>
                <w:szCs w:val="24"/>
              </w:rPr>
            </w:pPr>
            <w:r>
              <w:rPr>
                <w:rFonts w:hint="eastAsia" w:ascii="宋体" w:hAnsi="宋体" w:eastAsia="宋体" w:cs="宋体"/>
                <w:sz w:val="24"/>
                <w:szCs w:val="24"/>
              </w:rPr>
              <w:t>面积约</w:t>
            </w:r>
            <w:r>
              <w:rPr>
                <w:rFonts w:hint="eastAsia" w:ascii="宋体" w:hAnsi="宋体" w:cs="宋体"/>
                <w:sz w:val="24"/>
                <w:szCs w:val="24"/>
                <w:lang w:val="en-US" w:eastAsia="zh-CN"/>
              </w:rPr>
              <w:t>0.</w:t>
            </w:r>
            <w:r>
              <w:rPr>
                <w:rFonts w:hint="default" w:ascii="宋体" w:hAnsi="宋体" w:cs="宋体"/>
                <w:sz w:val="24"/>
                <w:szCs w:val="24"/>
                <w:lang w:val="en-US"/>
              </w:rPr>
              <w:t>32</w:t>
            </w:r>
            <w:r>
              <w:rPr>
                <w:rFonts w:hint="eastAsia" w:ascii="宋体" w:hAnsi="宋体" w:eastAsia="宋体" w:cs="宋体"/>
              </w:rPr>
              <w:t>km</w:t>
            </w:r>
            <w:r>
              <w:rPr>
                <w:rFonts w:hint="eastAsia" w:ascii="宋体" w:hAnsi="宋体" w:eastAsia="宋体" w:cs="宋体"/>
                <w:vertAlign w:val="superscript"/>
              </w:rPr>
              <w:t>2</w:t>
            </w:r>
          </w:p>
        </w:tc>
      </w:tr>
    </w:tbl>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20" w:name="_Toc3921"/>
      <w:r>
        <w:rPr>
          <w:rFonts w:hint="eastAsia" w:ascii="宋体" w:hAnsi="宋体" w:eastAsia="宋体" w:cs="宋体"/>
          <w:b/>
          <w:bCs/>
        </w:rPr>
        <w:t>二、矿山地质环境及土地复垦动态监测工作计划</w:t>
      </w:r>
      <w:bookmarkEnd w:id="20"/>
    </w:p>
    <w:p>
      <w:pPr>
        <w:ind w:firstLine="560"/>
        <w:rPr>
          <w:rFonts w:hint="eastAsia" w:ascii="宋体" w:hAnsi="宋体" w:eastAsia="宋体" w:cs="宋体"/>
        </w:rPr>
      </w:pPr>
      <w:r>
        <w:rPr>
          <w:rFonts w:hint="eastAsia" w:ascii="宋体" w:hAnsi="宋体" w:eastAsia="宋体" w:cs="宋体"/>
        </w:rPr>
        <w:t>1、边坡与滑坡（崩塌）地质灾害监测：利用已建立的边坡监测系统，采用GPS定位仪定期观测；并在采掘场各帮及排土场均设监测线、监测点，确保边坡安全。</w:t>
      </w:r>
    </w:p>
    <w:p>
      <w:pPr>
        <w:pStyle w:val="9"/>
        <w:ind w:firstLine="560"/>
        <w:rPr>
          <w:rFonts w:hint="eastAsia" w:ascii="宋体" w:hAnsi="宋体" w:eastAsia="宋体" w:cs="宋体"/>
        </w:rPr>
      </w:pPr>
      <w:r>
        <w:rPr>
          <w:rFonts w:hint="eastAsia" w:ascii="宋体" w:hAnsi="宋体" w:eastAsia="宋体" w:cs="宋体"/>
        </w:rPr>
        <w:t>2、含水层影响监测：根据已布设的监测点定期进行监测。水质监测每季度一次，水量监测每月一次，水位监测每月两次。</w:t>
      </w:r>
    </w:p>
    <w:p>
      <w:pPr>
        <w:pStyle w:val="9"/>
        <w:ind w:firstLine="560"/>
        <w:rPr>
          <w:rFonts w:hint="eastAsia" w:ascii="宋体" w:hAnsi="宋体" w:eastAsia="宋体" w:cs="宋体"/>
        </w:rPr>
      </w:pPr>
      <w:r>
        <w:rPr>
          <w:rFonts w:hint="eastAsia" w:ascii="宋体" w:hAnsi="宋体" w:eastAsia="宋体" w:cs="宋体"/>
        </w:rPr>
        <w:t>3、地形地貌景观监测：通过购买遥感影像图，对前后遥感影像进行解译，直接比较芒来煤矿地形地貌的动态变化，监测频率1次/年。</w:t>
      </w:r>
    </w:p>
    <w:p>
      <w:pPr>
        <w:pStyle w:val="9"/>
        <w:ind w:firstLine="560"/>
        <w:rPr>
          <w:rFonts w:hint="eastAsia" w:ascii="宋体" w:hAnsi="宋体" w:eastAsia="宋体" w:cs="宋体"/>
        </w:rPr>
      </w:pPr>
      <w:r>
        <w:rPr>
          <w:rFonts w:hint="eastAsia" w:ascii="宋体" w:hAnsi="宋体" w:eastAsia="宋体" w:cs="宋体"/>
        </w:rPr>
        <w:t>4、水土环境污染监测：定期对矿坑废水、生产、生活污水进行现场测试和全分析测试，对相关单元的土壤定期进行采样测试，频率1次/年。</w:t>
      </w:r>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21" w:name="_Toc30986"/>
      <w:r>
        <w:rPr>
          <w:rFonts w:hint="eastAsia" w:ascii="宋体" w:hAnsi="宋体" w:eastAsia="宋体" w:cs="宋体"/>
          <w:b/>
          <w:bCs/>
        </w:rPr>
        <w:t>三、经费投入和基金缴存、提取计划</w:t>
      </w:r>
      <w:bookmarkEnd w:id="21"/>
    </w:p>
    <w:p>
      <w:pPr>
        <w:pStyle w:val="9"/>
        <w:ind w:firstLine="560"/>
        <w:rPr>
          <w:rFonts w:hint="eastAsia" w:ascii="宋体" w:hAnsi="宋体" w:eastAsia="宋体" w:cs="宋体"/>
        </w:rPr>
      </w:pPr>
      <w:r>
        <w:rPr>
          <w:rFonts w:hint="eastAsia" w:ascii="宋体" w:hAnsi="宋体" w:eastAsia="宋体" w:cs="宋体"/>
        </w:rPr>
        <w:t>（一）经费投入情况详见下表：</w:t>
      </w:r>
    </w:p>
    <w:p>
      <w:pPr>
        <w:rPr>
          <w:rFonts w:hint="eastAsia" w:ascii="宋体" w:hAnsi="宋体" w:eastAsia="宋体" w:cs="宋体"/>
          <w:b/>
          <w:bCs/>
        </w:rPr>
      </w:pPr>
      <w:r>
        <w:rPr>
          <w:rFonts w:hint="eastAsia" w:ascii="宋体" w:hAnsi="宋体" w:eastAsia="宋体" w:cs="宋体"/>
          <w:b/>
          <w:bCs/>
        </w:rPr>
        <w:br w:type="page"/>
      </w:r>
    </w:p>
    <w:p>
      <w:pPr>
        <w:pStyle w:val="9"/>
        <w:spacing w:line="0" w:lineRule="atLeast"/>
        <w:ind w:firstLine="0" w:firstLineChars="0"/>
        <w:jc w:val="center"/>
        <w:rPr>
          <w:rFonts w:hint="eastAsia" w:ascii="宋体" w:hAnsi="宋体" w:eastAsia="宋体" w:cs="宋体"/>
          <w:b/>
          <w:bCs/>
        </w:rPr>
      </w:pPr>
      <w:r>
        <w:rPr>
          <w:rFonts w:hint="eastAsia" w:ascii="宋体" w:hAnsi="宋体" w:eastAsia="宋体" w:cs="宋体"/>
          <w:b/>
          <w:bCs/>
        </w:rPr>
        <w:t>表6-</w:t>
      </w:r>
      <w:r>
        <w:rPr>
          <w:rFonts w:hint="eastAsia" w:ascii="宋体" w:hAnsi="宋体" w:cs="宋体"/>
          <w:b/>
          <w:bCs/>
          <w:lang w:val="en-US" w:eastAsia="zh-CN"/>
        </w:rPr>
        <w:t>4</w:t>
      </w:r>
      <w:r>
        <w:rPr>
          <w:rFonts w:hint="eastAsia" w:ascii="宋体" w:hAnsi="宋体" w:eastAsia="宋体" w:cs="宋体"/>
          <w:b/>
          <w:bCs/>
        </w:rPr>
        <w:t xml:space="preserve">  </w:t>
      </w:r>
      <w:r>
        <w:rPr>
          <w:rFonts w:hint="eastAsia" w:ascii="宋体" w:hAnsi="宋体" w:cs="宋体"/>
          <w:b/>
          <w:bCs/>
          <w:lang w:eastAsia="zh-CN"/>
        </w:rPr>
        <w:t>工程量、</w:t>
      </w:r>
      <w:r>
        <w:rPr>
          <w:rFonts w:hint="eastAsia" w:ascii="宋体" w:hAnsi="宋体" w:eastAsia="宋体" w:cs="宋体"/>
          <w:b/>
          <w:bCs/>
        </w:rPr>
        <w:t>资金投入</w:t>
      </w:r>
      <w:r>
        <w:rPr>
          <w:rFonts w:hint="eastAsia" w:ascii="宋体" w:hAnsi="宋体" w:cs="宋体"/>
          <w:b/>
          <w:bCs/>
          <w:lang w:eastAsia="zh-CN"/>
        </w:rPr>
        <w:t>、完成时限汇总</w:t>
      </w:r>
      <w:r>
        <w:rPr>
          <w:rFonts w:hint="eastAsia" w:ascii="宋体" w:hAnsi="宋体" w:eastAsia="宋体" w:cs="宋体"/>
          <w:b/>
          <w:bCs/>
        </w:rPr>
        <w:t>表</w:t>
      </w:r>
    </w:p>
    <w:tbl>
      <w:tblPr>
        <w:tblStyle w:val="16"/>
        <w:tblW w:w="4998" w:type="pct"/>
        <w:tblInd w:w="0" w:type="dxa"/>
        <w:tblLayout w:type="autofit"/>
        <w:tblCellMar>
          <w:top w:w="0" w:type="dxa"/>
          <w:left w:w="108" w:type="dxa"/>
          <w:bottom w:w="0" w:type="dxa"/>
          <w:right w:w="108" w:type="dxa"/>
        </w:tblCellMar>
      </w:tblPr>
      <w:tblGrid>
        <w:gridCol w:w="593"/>
        <w:gridCol w:w="2137"/>
        <w:gridCol w:w="1062"/>
        <w:gridCol w:w="1074"/>
        <w:gridCol w:w="2664"/>
        <w:gridCol w:w="989"/>
      </w:tblGrid>
      <w:tr>
        <w:tblPrEx>
          <w:tblCellMar>
            <w:top w:w="0" w:type="dxa"/>
            <w:left w:w="108" w:type="dxa"/>
            <w:bottom w:w="0" w:type="dxa"/>
            <w:right w:w="108" w:type="dxa"/>
          </w:tblCellMar>
        </w:tblPrEx>
        <w:trPr>
          <w:trHeight w:val="676"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序号</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名称</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投入金额</w:t>
            </w:r>
          </w:p>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（万元）</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治理面积</w:t>
            </w:r>
          </w:p>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w:t>
            </w:r>
            <w:r>
              <w:rPr>
                <w:rFonts w:hint="default" w:ascii="Times New Roman" w:hAnsi="Times New Roman" w:eastAsia="宋体" w:cs="Times New Roman"/>
                <w:color w:val="000000"/>
                <w:kern w:val="0"/>
                <w:sz w:val="21"/>
                <w:szCs w:val="21"/>
                <w:lang w:val="en-US" w:eastAsia="zh-CN" w:bidi="ar"/>
              </w:rPr>
              <w:t>k</w:t>
            </w:r>
            <w:r>
              <w:rPr>
                <w:rFonts w:hint="default" w:ascii="Times New Roman" w:hAnsi="Times New Roman" w:eastAsia="宋体" w:cs="Times New Roman"/>
                <w:color w:val="000000"/>
                <w:kern w:val="0"/>
                <w:sz w:val="21"/>
                <w:szCs w:val="21"/>
                <w:lang w:bidi="ar"/>
              </w:rPr>
              <w:t>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 w:val="21"/>
                <w:szCs w:val="21"/>
                <w:lang w:bidi="ar"/>
              </w:rPr>
              <w:t>）</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eastAsia="zh-CN" w:bidi="ar"/>
              </w:rPr>
              <w:t>完成时间</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eastAsia="zh-CN" w:bidi="ar"/>
              </w:rPr>
            </w:pPr>
            <w:r>
              <w:rPr>
                <w:rFonts w:hint="default" w:ascii="Times New Roman" w:hAnsi="Times New Roman" w:cs="Times New Roman"/>
                <w:color w:val="000000"/>
                <w:kern w:val="0"/>
                <w:sz w:val="21"/>
                <w:szCs w:val="21"/>
                <w:lang w:eastAsia="zh-CN" w:bidi="ar"/>
              </w:rPr>
              <w:t>备注</w:t>
            </w:r>
          </w:p>
        </w:tc>
      </w:tr>
      <w:tr>
        <w:tblPrEx>
          <w:tblCellMar>
            <w:top w:w="0" w:type="dxa"/>
            <w:left w:w="108" w:type="dxa"/>
            <w:bottom w:w="0" w:type="dxa"/>
            <w:right w:w="108" w:type="dxa"/>
          </w:tblCellMar>
        </w:tblPrEx>
        <w:trPr>
          <w:trHeight w:val="34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1</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增设警示牌</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2024年5月10日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4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2</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1#、2#破碎站卸料平台修整</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r>
              <w:rPr>
                <w:rFonts w:hint="default" w:ascii="Times New Roman" w:hAnsi="Times New Roman"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2024年6月10日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4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3</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已过养护期的绿化区域补植</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r>
              <w:rPr>
                <w:rFonts w:hint="default" w:ascii="Times New Roman" w:hAnsi="Times New Roman"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2024年6月20日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76"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4</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北外排土场以往复垦区平整、补种草籽、养护</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150</w:t>
            </w:r>
            <w:r>
              <w:rPr>
                <w:rFonts w:hint="eastAsia"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0.38</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2024年6月20日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2127"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bidi="ar"/>
              </w:rPr>
              <w:t>5</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2024年北外排土场</w:t>
            </w:r>
            <w:r>
              <w:rPr>
                <w:rFonts w:hint="eastAsia" w:cs="Times New Roman"/>
                <w:i w:val="0"/>
                <w:iCs w:val="0"/>
                <w:color w:val="auto"/>
                <w:kern w:val="0"/>
                <w:sz w:val="21"/>
                <w:szCs w:val="21"/>
                <w:u w:val="none"/>
                <w:lang w:val="en-US" w:eastAsia="zh-CN" w:bidi="ar"/>
              </w:rPr>
              <w:t>新增区域复垦</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i w:val="0"/>
                <w:iCs w:val="0"/>
                <w:color w:val="auto"/>
                <w:kern w:val="0"/>
                <w:sz w:val="21"/>
                <w:szCs w:val="21"/>
                <w:u w:val="none"/>
                <w:lang w:val="en-US" w:eastAsia="zh-CN" w:bidi="ar"/>
              </w:rPr>
              <w:t>715</w:t>
            </w:r>
            <w:r>
              <w:rPr>
                <w:rFonts w:hint="eastAsia" w:cs="Times New Roman"/>
                <w:i w:val="0"/>
                <w:iCs w:val="0"/>
                <w:color w:val="auto"/>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0.36</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line="0" w:lineRule="atLeast"/>
              <w:ind w:left="0" w:leftChars="0" w:firstLine="0" w:firstLineChars="0"/>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如8月底前土地可用，可完成复垦面积0.36km²</w:t>
            </w:r>
            <w:r>
              <w:rPr>
                <w:rFonts w:hint="eastAsia" w:cs="Times New Roman"/>
                <w:i w:val="0"/>
                <w:iCs w:val="0"/>
                <w:color w:val="auto"/>
                <w:kern w:val="0"/>
                <w:sz w:val="21"/>
                <w:szCs w:val="21"/>
                <w:u w:val="none"/>
                <w:lang w:val="en-US" w:eastAsia="zh-CN" w:bidi="ar"/>
              </w:rPr>
              <w:t>；</w:t>
            </w:r>
          </w:p>
          <w:p>
            <w:pPr>
              <w:pStyle w:val="9"/>
              <w:keepNext w:val="0"/>
              <w:keepLines w:val="0"/>
              <w:pageBreakBefore w:val="0"/>
              <w:kinsoku/>
              <w:wordWrap/>
              <w:overflowPunct/>
              <w:topLinePunct w:val="0"/>
              <w:autoSpaceDE/>
              <w:autoSpaceDN/>
              <w:bidi w:val="0"/>
              <w:adjustRightInd/>
              <w:snapToGrid/>
              <w:spacing w:line="0" w:lineRule="atLeast"/>
              <w:ind w:left="0" w:leftChars="0" w:firstLine="0" w:firstLineChars="0"/>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如9月底前土地可用，可完成复垦面积0.24km²</w:t>
            </w:r>
            <w:r>
              <w:rPr>
                <w:rFonts w:hint="eastAsia" w:cs="Times New Roman"/>
                <w:i w:val="0"/>
                <w:iCs w:val="0"/>
                <w:color w:val="auto"/>
                <w:kern w:val="0"/>
                <w:sz w:val="21"/>
                <w:szCs w:val="21"/>
                <w:u w:val="none"/>
                <w:lang w:val="en-US" w:eastAsia="zh-CN" w:bidi="ar"/>
              </w:rPr>
              <w:t>；</w:t>
            </w:r>
          </w:p>
          <w:p>
            <w:pPr>
              <w:pStyle w:val="9"/>
              <w:keepNext w:val="0"/>
              <w:keepLines w:val="0"/>
              <w:pageBreakBefore w:val="0"/>
              <w:kinsoku/>
              <w:wordWrap/>
              <w:overflowPunct/>
              <w:topLinePunct w:val="0"/>
              <w:autoSpaceDE/>
              <w:autoSpaceDN/>
              <w:bidi w:val="0"/>
              <w:adjustRightInd/>
              <w:snapToGrid/>
              <w:spacing w:line="0" w:lineRule="atLeast"/>
              <w:ind w:left="0" w:leftChars="0" w:firstLine="0" w:firstLineChars="0"/>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如10月底前土地可用，可完成复垦面积0.12km²</w:t>
            </w:r>
            <w:r>
              <w:rPr>
                <w:rFonts w:hint="eastAsia" w:cs="Times New Roman"/>
                <w:i w:val="0"/>
                <w:iCs w:val="0"/>
                <w:color w:val="auto"/>
                <w:kern w:val="0"/>
                <w:sz w:val="21"/>
                <w:szCs w:val="21"/>
                <w:u w:val="none"/>
                <w:lang w:val="en-US" w:eastAsia="zh-CN" w:bidi="ar"/>
              </w:rPr>
              <w:t>；</w:t>
            </w:r>
          </w:p>
          <w:p>
            <w:pPr>
              <w:pStyle w:val="9"/>
              <w:keepNext w:val="0"/>
              <w:keepLines w:val="0"/>
              <w:pageBreakBefore w:val="0"/>
              <w:kinsoku/>
              <w:wordWrap/>
              <w:overflowPunct/>
              <w:topLinePunct w:val="0"/>
              <w:autoSpaceDE/>
              <w:autoSpaceDN/>
              <w:bidi w:val="0"/>
              <w:adjustRightInd/>
              <w:snapToGrid/>
              <w:spacing w:line="0" w:lineRule="atLeast"/>
              <w:ind w:left="0" w:leftChars="0" w:firstLine="0" w:firstLineChars="0"/>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如11月底前土地可用，北外排土场将无法进行复垦。</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包括</w:t>
            </w:r>
            <w:r>
              <w:rPr>
                <w:rFonts w:hint="default" w:ascii="Times New Roman" w:hAnsi="Times New Roman" w:eastAsia="宋体" w:cs="Times New Roman"/>
                <w:i w:val="0"/>
                <w:iCs w:val="0"/>
                <w:color w:val="000000"/>
                <w:kern w:val="0"/>
                <w:sz w:val="21"/>
                <w:szCs w:val="21"/>
                <w:u w:val="none"/>
                <w:lang w:val="en-US" w:eastAsia="zh-CN" w:bidi="ar"/>
              </w:rPr>
              <w:t>削坡工程、</w:t>
            </w:r>
            <w:r>
              <w:rPr>
                <w:rFonts w:hint="eastAsia" w:cs="Times New Roman"/>
                <w:i w:val="0"/>
                <w:iCs w:val="0"/>
                <w:color w:val="000000"/>
                <w:kern w:val="0"/>
                <w:sz w:val="21"/>
                <w:szCs w:val="21"/>
                <w:u w:val="none"/>
                <w:lang w:val="en-US" w:eastAsia="zh-CN" w:bidi="ar"/>
              </w:rPr>
              <w:t>覆土工程、</w:t>
            </w:r>
            <w:r>
              <w:rPr>
                <w:rFonts w:hint="default" w:ascii="Times New Roman" w:hAnsi="Times New Roman" w:eastAsia="宋体" w:cs="Times New Roman"/>
                <w:i w:val="0"/>
                <w:iCs w:val="0"/>
                <w:color w:val="000000"/>
                <w:kern w:val="0"/>
                <w:sz w:val="21"/>
                <w:szCs w:val="21"/>
                <w:u w:val="none"/>
                <w:lang w:val="en-US" w:eastAsia="zh-CN" w:bidi="ar"/>
              </w:rPr>
              <w:t>排水工程、道路工程</w:t>
            </w:r>
          </w:p>
        </w:tc>
      </w:tr>
      <w:tr>
        <w:tblPrEx>
          <w:tblCellMar>
            <w:top w:w="0" w:type="dxa"/>
            <w:left w:w="108" w:type="dxa"/>
            <w:bottom w:w="0" w:type="dxa"/>
            <w:right w:w="108" w:type="dxa"/>
          </w:tblCellMar>
        </w:tblPrEx>
        <w:trPr>
          <w:trHeight w:val="676"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bidi="ar"/>
              </w:rPr>
            </w:pPr>
            <w:r>
              <w:rPr>
                <w:rFonts w:hint="default" w:ascii="Times New Roman" w:hAnsi="Times New Roman" w:cs="Times New Roman"/>
                <w:color w:val="000000"/>
                <w:kern w:val="0"/>
                <w:sz w:val="21"/>
                <w:szCs w:val="21"/>
                <w:lang w:val="en-US" w:bidi="ar"/>
              </w:rPr>
              <w:t>6</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内排土场以往复垦区平整、补种草籽、养护、雨水冲沟治理</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r>
              <w:rPr>
                <w:rFonts w:hint="eastAsia" w:cs="Times New Roman"/>
                <w:color w:val="auto"/>
                <w:kern w:val="0"/>
                <w:sz w:val="21"/>
                <w:szCs w:val="21"/>
                <w:lang w:val="en-US" w:eastAsia="zh-CN" w:bidi="ar"/>
              </w:rPr>
              <w:t>32</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2024年7月1</w:t>
            </w:r>
            <w:r>
              <w:rPr>
                <w:rFonts w:hint="default" w:ascii="Times New Roman" w:hAnsi="Times New Roman"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676"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cs="Times New Roman"/>
                <w:color w:val="000000"/>
                <w:kern w:val="0"/>
                <w:sz w:val="21"/>
                <w:szCs w:val="21"/>
                <w:lang w:val="en-US" w:bidi="ar"/>
              </w:rPr>
              <w:t>7</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内外排土场基底防滑治理及采场边坡治理</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2500</w:t>
            </w:r>
            <w:r>
              <w:rPr>
                <w:rFonts w:hint="default" w:ascii="Times New Roman" w:hAnsi="Times New Roman"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2024年10月1日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4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bidi="ar"/>
              </w:rPr>
            </w:pPr>
            <w:r>
              <w:rPr>
                <w:rFonts w:hint="default" w:cs="Times New Roman"/>
                <w:color w:val="000000"/>
                <w:kern w:val="0"/>
                <w:sz w:val="21"/>
                <w:szCs w:val="21"/>
                <w:lang w:val="en-US" w:bidi="ar"/>
              </w:rPr>
              <w:t>8</w:t>
            </w:r>
          </w:p>
        </w:tc>
        <w:tc>
          <w:tcPr>
            <w:tcW w:w="1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矿山地质环境及土地复垦动态监测</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r>
              <w:rPr>
                <w:rFonts w:hint="default" w:ascii="Times New Roman" w:hAnsi="Times New Roman" w:cs="Times New Roman"/>
                <w:i w:val="0"/>
                <w:iCs w:val="0"/>
                <w:color w:val="000000"/>
                <w:kern w:val="0"/>
                <w:sz w:val="21"/>
                <w:szCs w:val="21"/>
                <w:u w:val="none"/>
                <w:lang w:val="en-US" w:eastAsia="zh-CN" w:bidi="ar"/>
              </w:rPr>
              <w:t>.00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2024年10月1日</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356" w:hRule="atLeast"/>
        </w:trPr>
        <w:tc>
          <w:tcPr>
            <w:tcW w:w="16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合计</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w:t>
            </w:r>
            <w:r>
              <w:rPr>
                <w:rFonts w:hint="default" w:cs="Times New Roman"/>
                <w:color w:val="000000"/>
                <w:kern w:val="0"/>
                <w:sz w:val="21"/>
                <w:szCs w:val="21"/>
                <w:lang w:val="en-US" w:eastAsia="zh-CN" w:bidi="ar"/>
              </w:rPr>
              <w:t>506.00</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1.06</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center"/>
              <w:rPr>
                <w:rFonts w:hint="default" w:ascii="Times New Roman" w:hAnsi="Times New Roman" w:eastAsia="宋体" w:cs="Times New Roman"/>
                <w:color w:val="000000"/>
                <w:kern w:val="0"/>
                <w:sz w:val="21"/>
                <w:szCs w:val="21"/>
                <w:lang w:bidi="ar"/>
              </w:rPr>
            </w:pPr>
          </w:p>
        </w:tc>
      </w:tr>
    </w:tbl>
    <w:p>
      <w:pPr>
        <w:pStyle w:val="9"/>
        <w:ind w:firstLine="560"/>
        <w:rPr>
          <w:rFonts w:hint="eastAsia" w:ascii="宋体" w:hAnsi="宋体" w:eastAsia="宋体" w:cs="宋体"/>
        </w:rPr>
      </w:pPr>
      <w:r>
        <w:rPr>
          <w:rFonts w:hint="eastAsia" w:ascii="宋体" w:hAnsi="宋体" w:eastAsia="宋体" w:cs="宋体"/>
        </w:rPr>
        <w:t>（二）基金缴存、提取</w:t>
      </w:r>
    </w:p>
    <w:p>
      <w:pPr>
        <w:pStyle w:val="9"/>
        <w:ind w:firstLine="560"/>
        <w:rPr>
          <w:rFonts w:hint="default" w:ascii="Times New Roman" w:hAnsi="Times New Roman" w:eastAsia="宋体" w:cs="Times New Roman"/>
          <w:color w:val="auto"/>
        </w:rPr>
      </w:pPr>
      <w:r>
        <w:rPr>
          <w:rFonts w:hint="eastAsia" w:cs="Times New Roman"/>
          <w:color w:val="auto"/>
          <w:lang w:val="en-US" w:eastAsia="zh-CN"/>
        </w:rPr>
        <w:t>依据《内蒙古自治区矿山地质环境治理恢复基金管理办法（试行）》，</w:t>
      </w:r>
      <w:r>
        <w:rPr>
          <w:rFonts w:hint="default" w:ascii="Times New Roman" w:hAnsi="Times New Roman" w:eastAsia="宋体" w:cs="Times New Roman"/>
          <w:color w:val="auto"/>
        </w:rPr>
        <w:t>2024年度拟</w:t>
      </w:r>
      <w:r>
        <w:rPr>
          <w:rFonts w:hint="eastAsia" w:cs="Times New Roman"/>
          <w:color w:val="auto"/>
          <w:lang w:val="en-US" w:eastAsia="zh-CN"/>
        </w:rPr>
        <w:t>提取</w:t>
      </w:r>
      <w:r>
        <w:rPr>
          <w:rFonts w:hint="default" w:ascii="Times New Roman" w:hAnsi="Times New Roman" w:eastAsia="宋体" w:cs="Times New Roman"/>
          <w:color w:val="auto"/>
        </w:rPr>
        <w:t>基金</w:t>
      </w:r>
      <w:r>
        <w:rPr>
          <w:rFonts w:hint="default" w:ascii="Times New Roman" w:hAnsi="Times New Roman" w:eastAsia="宋体" w:cs="Times New Roman"/>
          <w:color w:val="auto"/>
          <w:lang w:val="en-US" w:eastAsia="zh-CN"/>
        </w:rPr>
        <w:t>61</w:t>
      </w:r>
      <w:r>
        <w:rPr>
          <w:rFonts w:hint="eastAsia" w:cs="Times New Roman"/>
          <w:color w:val="auto"/>
          <w:lang w:val="en-US" w:eastAsia="zh-CN"/>
        </w:rPr>
        <w:t>46</w:t>
      </w:r>
      <w:r>
        <w:rPr>
          <w:rFonts w:hint="default" w:ascii="Times New Roman" w:hAnsi="Times New Roman" w:eastAsia="宋体" w:cs="Times New Roman"/>
          <w:color w:val="auto"/>
        </w:rPr>
        <w:t>万元，</w:t>
      </w:r>
      <w:r>
        <w:rPr>
          <w:rFonts w:hint="eastAsia" w:cs="Times New Roman"/>
          <w:color w:val="auto"/>
          <w:lang w:val="en-US" w:eastAsia="zh-CN"/>
        </w:rPr>
        <w:t>计划</w:t>
      </w:r>
      <w:r>
        <w:rPr>
          <w:rFonts w:hint="default" w:ascii="Times New Roman" w:hAnsi="Times New Roman" w:eastAsia="宋体" w:cs="Times New Roman"/>
          <w:color w:val="auto"/>
        </w:rPr>
        <w:t>使用</w:t>
      </w:r>
      <w:r>
        <w:rPr>
          <w:rFonts w:hint="eastAsia" w:cs="Times New Roman"/>
          <w:color w:val="auto"/>
          <w:lang w:val="en-US" w:eastAsia="zh-CN"/>
        </w:rPr>
        <w:t>3</w:t>
      </w:r>
      <w:r>
        <w:rPr>
          <w:rFonts w:hint="default" w:ascii="Times New Roman" w:hAnsi="Times New Roman" w:cs="Times New Roman"/>
          <w:color w:val="auto"/>
          <w:lang w:val="en-US" w:eastAsia="zh-CN"/>
        </w:rPr>
        <w:t>506</w:t>
      </w:r>
      <w:r>
        <w:rPr>
          <w:rFonts w:hint="default" w:ascii="Times New Roman" w:hAnsi="Times New Roman" w:eastAsia="宋体" w:cs="Times New Roman"/>
          <w:color w:val="auto"/>
        </w:rPr>
        <w:t>万元。</w:t>
      </w:r>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22" w:name="_Toc28658"/>
      <w:r>
        <w:rPr>
          <w:rFonts w:hint="eastAsia" w:ascii="宋体" w:hAnsi="宋体" w:eastAsia="宋体" w:cs="宋体"/>
          <w:b/>
          <w:bCs/>
        </w:rPr>
        <w:t>四、治理工程实施方式与时间安排</w:t>
      </w:r>
      <w:bookmarkEnd w:id="22"/>
    </w:p>
    <w:p>
      <w:pPr>
        <w:pStyle w:val="15"/>
        <w:rPr>
          <w:rFonts w:hint="eastAsia" w:ascii="宋体" w:hAnsi="宋体" w:eastAsia="宋体" w:cs="宋体"/>
          <w:bCs/>
          <w:szCs w:val="24"/>
        </w:rPr>
      </w:pPr>
      <w:r>
        <w:rPr>
          <w:rFonts w:hint="eastAsia" w:ascii="宋体" w:hAnsi="宋体" w:eastAsia="宋体" w:cs="宋体"/>
          <w:bCs/>
          <w:szCs w:val="24"/>
        </w:rPr>
        <w:t>（一）实施方式</w:t>
      </w:r>
    </w:p>
    <w:p>
      <w:pPr>
        <w:pStyle w:val="15"/>
        <w:ind w:firstLine="482" w:firstLineChars="0"/>
        <w:rPr>
          <w:rFonts w:hint="eastAsia" w:ascii="宋体" w:hAnsi="宋体" w:eastAsia="宋体" w:cs="宋体"/>
          <w:bCs/>
          <w:szCs w:val="24"/>
        </w:rPr>
      </w:pPr>
      <w:r>
        <w:rPr>
          <w:rFonts w:hint="eastAsia" w:ascii="宋体" w:hAnsi="宋体" w:eastAsia="宋体" w:cs="宋体"/>
          <w:bCs/>
          <w:szCs w:val="24"/>
        </w:rPr>
        <w:t>矿山严格按照《开发利用方案》进行开采，拟治理单元的治理标准、治理手段、矿山地质环境监测方法、土地复垦管护均依《矿山地质环境保护与土地复垦方案》要求进行。</w:t>
      </w:r>
    </w:p>
    <w:p>
      <w:pPr>
        <w:pStyle w:val="15"/>
        <w:rPr>
          <w:rFonts w:hint="eastAsia" w:ascii="宋体" w:hAnsi="宋体" w:eastAsia="宋体" w:cs="宋体"/>
          <w:bCs/>
          <w:szCs w:val="24"/>
        </w:rPr>
      </w:pPr>
      <w:r>
        <w:rPr>
          <w:rFonts w:hint="eastAsia" w:ascii="宋体" w:hAnsi="宋体" w:eastAsia="宋体" w:cs="宋体"/>
          <w:bCs/>
          <w:szCs w:val="24"/>
        </w:rPr>
        <w:t>（二）时间安排</w:t>
      </w:r>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Cs/>
          <w:szCs w:val="24"/>
          <w:lang w:val="en-US" w:eastAsia="zh-CN"/>
        </w:rPr>
      </w:pPr>
      <w:r>
        <w:rPr>
          <w:rFonts w:hint="eastAsia" w:ascii="宋体" w:hAnsi="宋体" w:eastAsia="宋体" w:cs="宋体"/>
          <w:bCs/>
          <w:szCs w:val="24"/>
          <w:lang w:eastAsia="zh-CN"/>
        </w:rPr>
        <w:t>在充分考虑生产进度及气候影响的条件下，尽量将各治理工作有序的分段开展、统筹安排，各项工作完成时限详见表</w:t>
      </w:r>
      <w:r>
        <w:rPr>
          <w:rFonts w:hint="eastAsia" w:ascii="宋体" w:hAnsi="宋体" w:eastAsia="宋体" w:cs="宋体"/>
          <w:bCs/>
          <w:szCs w:val="24"/>
          <w:lang w:val="en-US" w:eastAsia="zh-CN"/>
        </w:rPr>
        <w:t>6-</w:t>
      </w:r>
      <w:r>
        <w:rPr>
          <w:rFonts w:hint="eastAsia" w:ascii="宋体" w:hAnsi="宋体" w:cs="宋体"/>
          <w:bCs/>
          <w:szCs w:val="24"/>
          <w:lang w:val="en-US" w:eastAsia="zh-CN"/>
        </w:rPr>
        <w:t>4</w:t>
      </w:r>
      <w:r>
        <w:rPr>
          <w:rFonts w:hint="eastAsia" w:ascii="宋体" w:hAnsi="宋体" w:eastAsia="宋体" w:cs="宋体"/>
          <w:bCs/>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562"/>
        <w:textAlignment w:val="auto"/>
        <w:outlineLvl w:val="1"/>
        <w:rPr>
          <w:rFonts w:hint="eastAsia" w:ascii="宋体" w:hAnsi="宋体" w:eastAsia="宋体" w:cs="宋体"/>
          <w:b/>
          <w:bCs/>
        </w:rPr>
      </w:pPr>
      <w:bookmarkStart w:id="23" w:name="_Toc5424"/>
      <w:r>
        <w:rPr>
          <w:rFonts w:hint="eastAsia" w:ascii="宋体" w:hAnsi="宋体" w:eastAsia="宋体" w:cs="宋体"/>
          <w:b/>
          <w:bCs/>
        </w:rPr>
        <w:t>五、组织机构及保障措施</w:t>
      </w:r>
      <w:bookmarkEnd w:id="23"/>
    </w:p>
    <w:p>
      <w:pPr>
        <w:pStyle w:val="9"/>
        <w:ind w:firstLine="560"/>
        <w:rPr>
          <w:rFonts w:hint="eastAsia" w:ascii="宋体" w:hAnsi="宋体" w:eastAsia="宋体" w:cs="宋体"/>
        </w:rPr>
      </w:pPr>
      <w:r>
        <w:rPr>
          <w:rFonts w:hint="eastAsia" w:ascii="宋体" w:hAnsi="宋体" w:eastAsia="宋体" w:cs="宋体"/>
        </w:rPr>
        <w:t>（一）组织保障</w:t>
      </w:r>
    </w:p>
    <w:p>
      <w:pPr>
        <w:pStyle w:val="9"/>
        <w:ind w:firstLine="560"/>
        <w:rPr>
          <w:rFonts w:hint="eastAsia" w:ascii="宋体" w:hAnsi="宋体" w:eastAsia="宋体" w:cs="宋体"/>
        </w:rPr>
      </w:pPr>
      <w:r>
        <w:rPr>
          <w:rFonts w:hint="eastAsia" w:ascii="宋体" w:hAnsi="宋体" w:eastAsia="宋体" w:cs="宋体"/>
        </w:rPr>
        <w:t>要成立矿山地质环境保护与治理科室，有专人负责此项工作，做到治理工作有人管、有人抓。并按方案制定的年度计算具体实施、完成各阶段的治理任务。接受自然资源管理部门监督、检查，确保矿山地质环境恢复治理工作有新的成效。</w:t>
      </w:r>
    </w:p>
    <w:p>
      <w:pPr>
        <w:pStyle w:val="9"/>
        <w:ind w:firstLine="560"/>
        <w:rPr>
          <w:rFonts w:hint="eastAsia" w:ascii="宋体" w:hAnsi="宋体" w:eastAsia="宋体" w:cs="宋体"/>
        </w:rPr>
      </w:pPr>
      <w:r>
        <w:rPr>
          <w:rFonts w:hint="eastAsia" w:ascii="宋体" w:hAnsi="宋体" w:eastAsia="宋体" w:cs="宋体"/>
        </w:rPr>
        <w:t>（二）技术保障</w:t>
      </w:r>
    </w:p>
    <w:p>
      <w:pPr>
        <w:pStyle w:val="9"/>
        <w:ind w:firstLine="560"/>
        <w:rPr>
          <w:rFonts w:hint="eastAsia" w:ascii="宋体" w:hAnsi="宋体" w:eastAsia="宋体" w:cs="宋体"/>
        </w:rPr>
      </w:pPr>
      <w:r>
        <w:rPr>
          <w:rFonts w:hint="eastAsia" w:ascii="宋体" w:hAnsi="宋体" w:eastAsia="宋体" w:cs="宋体"/>
        </w:rPr>
        <w:t>建立施工质量管理机构，负责施工阶段的现场质量监管。在实施恢复治理工程过程中严格执行有关规范、设计。施工单位建立相应的专项质量检查员，从源头保证施工质量。</w:t>
      </w:r>
    </w:p>
    <w:p>
      <w:pPr>
        <w:pStyle w:val="9"/>
        <w:ind w:firstLine="560"/>
        <w:rPr>
          <w:rFonts w:hint="eastAsia" w:ascii="宋体" w:hAnsi="宋体" w:eastAsia="宋体" w:cs="宋体"/>
        </w:rPr>
      </w:pPr>
      <w:r>
        <w:rPr>
          <w:rFonts w:hint="eastAsia" w:ascii="宋体" w:hAnsi="宋体" w:eastAsia="宋体" w:cs="宋体"/>
        </w:rPr>
        <w:t>施工单位的质量管理组要建立严格的质量检查制度，选择有责任心的工地质量检查员深入施工现场，及时检查施工质量，填报质量日志，负责向施工单位质量管理组报告现场质量情况，并与监理工程师协同作好现场质量监管。</w:t>
      </w:r>
    </w:p>
    <w:p>
      <w:pPr>
        <w:pStyle w:val="9"/>
        <w:ind w:firstLine="560"/>
        <w:rPr>
          <w:rFonts w:hint="eastAsia" w:ascii="宋体" w:hAnsi="宋体" w:eastAsia="宋体" w:cs="宋体"/>
        </w:rPr>
      </w:pPr>
      <w:r>
        <w:rPr>
          <w:rFonts w:hint="eastAsia" w:ascii="宋体" w:hAnsi="宋体" w:eastAsia="宋体" w:cs="宋体"/>
        </w:rPr>
        <w:t>施工单位要根据现场质检员的日报，汇总质量周报及月报。</w:t>
      </w:r>
    </w:p>
    <w:p>
      <w:pPr>
        <w:pStyle w:val="9"/>
        <w:ind w:firstLine="560"/>
        <w:rPr>
          <w:rFonts w:hint="eastAsia" w:ascii="宋体" w:hAnsi="宋体" w:eastAsia="宋体" w:cs="宋体"/>
        </w:rPr>
      </w:pPr>
      <w:r>
        <w:rPr>
          <w:rFonts w:hint="eastAsia" w:ascii="宋体" w:hAnsi="宋体" w:eastAsia="宋体" w:cs="宋体"/>
        </w:rPr>
        <w:t>监理工程师全面代表业主（出资各方）对工程的全过程进行质量监理，严格执行监理工作条例，全面建立工程质量监督制度，并向工程项目质量监管组提交月报，最终代表监理单位编写项目工程监理报告。</w:t>
      </w:r>
    </w:p>
    <w:p>
      <w:pPr>
        <w:pStyle w:val="9"/>
        <w:ind w:firstLine="560"/>
        <w:rPr>
          <w:rFonts w:hint="eastAsia" w:ascii="宋体" w:hAnsi="宋体" w:eastAsia="宋体" w:cs="宋体"/>
        </w:rPr>
      </w:pPr>
      <w:r>
        <w:rPr>
          <w:rFonts w:hint="eastAsia" w:ascii="宋体" w:hAnsi="宋体" w:eastAsia="宋体" w:cs="宋体"/>
        </w:rPr>
        <w:t>项目质量监管组根据工程情况，定期或不定期地深入工地进行督查，遇有重要质量问题，要亲临现场及时处理。</w:t>
      </w:r>
    </w:p>
    <w:p>
      <w:pPr>
        <w:pStyle w:val="9"/>
        <w:ind w:firstLine="560"/>
        <w:rPr>
          <w:rFonts w:hint="eastAsia" w:ascii="宋体" w:hAnsi="宋体" w:eastAsia="宋体" w:cs="宋体"/>
        </w:rPr>
      </w:pPr>
      <w:r>
        <w:rPr>
          <w:rFonts w:hint="eastAsia" w:ascii="宋体" w:hAnsi="宋体" w:eastAsia="宋体" w:cs="宋体"/>
        </w:rPr>
        <w:t>（三）资金保障</w:t>
      </w:r>
    </w:p>
    <w:p>
      <w:pPr>
        <w:pStyle w:val="9"/>
        <w:ind w:firstLine="560"/>
        <w:rPr>
          <w:rFonts w:hint="eastAsia" w:ascii="宋体" w:hAnsi="宋体" w:eastAsia="宋体" w:cs="宋体"/>
        </w:rPr>
      </w:pPr>
      <w:r>
        <w:rPr>
          <w:rFonts w:hint="eastAsia" w:ascii="宋体" w:hAnsi="宋体" w:eastAsia="宋体" w:cs="宋体"/>
        </w:rPr>
        <w:t>公司高度重视矿山地质环境治理与土地复垦工作，按该方案制定的矿地地质环境治理与土地复垦工作进行部署，把估算的治理费用按有关规定存入银行，签订三方监管协议，并由银行进行保管，确保各项治理工作能落实到位。</w:t>
      </w:r>
    </w:p>
    <w:p>
      <w:pPr>
        <w:pStyle w:val="9"/>
        <w:ind w:firstLine="560"/>
        <w:rPr>
          <w:rFonts w:hint="eastAsia" w:ascii="宋体" w:hAnsi="宋体" w:eastAsia="宋体" w:cs="宋体"/>
        </w:rPr>
      </w:pPr>
      <w:r>
        <w:rPr>
          <w:rFonts w:hint="eastAsia" w:ascii="宋体" w:hAnsi="宋体" w:eastAsia="宋体" w:cs="宋体"/>
        </w:rPr>
        <w:t>1、资金来源：本项目复垦资金全部由矿山企业出资，按本方案确定的资金数额，在矿山地质环境治理与土地复垦费用专门账户中足额预存土地复垦费用。以确保资金落到实处。</w:t>
      </w:r>
    </w:p>
    <w:p>
      <w:pPr>
        <w:pStyle w:val="9"/>
        <w:ind w:firstLine="560"/>
        <w:rPr>
          <w:rFonts w:hint="eastAsia" w:ascii="宋体" w:hAnsi="宋体" w:eastAsia="宋体" w:cs="宋体"/>
        </w:rPr>
      </w:pPr>
      <w:r>
        <w:rPr>
          <w:rFonts w:hint="eastAsia" w:ascii="宋体" w:hAnsi="宋体" w:eastAsia="宋体" w:cs="宋体"/>
        </w:rPr>
        <w:t>2、资金计提：按照当年的治理及复垦计划、提取土地复垦资金费用。</w:t>
      </w:r>
    </w:p>
    <w:p>
      <w:pPr>
        <w:pStyle w:val="9"/>
        <w:ind w:firstLine="560"/>
        <w:rPr>
          <w:rFonts w:hint="eastAsia" w:ascii="宋体" w:hAnsi="宋体" w:eastAsia="宋体" w:cs="宋体"/>
        </w:rPr>
      </w:pPr>
      <w:r>
        <w:rPr>
          <w:rFonts w:hint="eastAsia" w:ascii="宋体" w:hAnsi="宋体" w:eastAsia="宋体" w:cs="宋体"/>
        </w:rPr>
        <w:t>3、费用存储：根据治理复垦安排表确定的提取金额，向财务部门申请计提资金，满足复垦要求。</w:t>
      </w:r>
    </w:p>
    <w:p>
      <w:pPr>
        <w:pStyle w:val="9"/>
        <w:ind w:firstLine="560"/>
        <w:rPr>
          <w:rFonts w:hint="eastAsia" w:ascii="宋体" w:hAnsi="宋体" w:eastAsia="宋体" w:cs="宋体"/>
        </w:rPr>
      </w:pPr>
      <w:r>
        <w:rPr>
          <w:rFonts w:hint="eastAsia" w:ascii="宋体" w:hAnsi="宋体" w:eastAsia="宋体" w:cs="宋体"/>
        </w:rPr>
        <w:t>4、费用使用：财务部对资金使用预算进行审核。</w:t>
      </w:r>
    </w:p>
    <w:p>
      <w:pPr>
        <w:pStyle w:val="9"/>
        <w:ind w:firstLine="560"/>
        <w:rPr>
          <w:rFonts w:hint="eastAsia" w:ascii="宋体" w:hAnsi="宋体" w:eastAsia="宋体" w:cs="宋体"/>
        </w:rPr>
      </w:pPr>
      <w:r>
        <w:rPr>
          <w:rFonts w:hint="eastAsia" w:ascii="宋体" w:hAnsi="宋体" w:eastAsia="宋体" w:cs="宋体"/>
        </w:rPr>
        <w:t>（四）监管保障</w:t>
      </w:r>
    </w:p>
    <w:p>
      <w:pPr>
        <w:pStyle w:val="9"/>
        <w:ind w:firstLine="560"/>
        <w:rPr>
          <w:rFonts w:hint="eastAsia" w:ascii="宋体" w:hAnsi="宋体" w:eastAsia="宋体" w:cs="宋体"/>
        </w:rPr>
      </w:pPr>
      <w:r>
        <w:rPr>
          <w:rFonts w:hint="eastAsia" w:ascii="宋体" w:hAnsi="宋体" w:eastAsia="宋体" w:cs="宋体"/>
        </w:rPr>
        <w:t>本项目的实施，须建立专职机构，由专职人员具体管理负责制，制定详细的设计施工方案，建立质量监测及验收等工作程序。自觉地接受财政、监察、自然资源管理等部门的监督和检查，配备专职人员和有管理经验的技术人员组成项目区土地复垦办公室，专门负责项目区土地复垦工程的实施。</w:t>
      </w:r>
    </w:p>
    <w:p>
      <w:pPr>
        <w:pStyle w:val="9"/>
        <w:ind w:firstLine="560"/>
        <w:rPr>
          <w:rFonts w:hint="eastAsia" w:ascii="宋体" w:hAnsi="宋体" w:eastAsia="宋体" w:cs="宋体"/>
          <w:bCs/>
        </w:rPr>
      </w:pPr>
      <w:r>
        <w:rPr>
          <w:rFonts w:hint="eastAsia" w:ascii="宋体" w:hAnsi="宋体" w:eastAsia="宋体" w:cs="宋体"/>
        </w:rPr>
        <w:t>参与项目勘察、设计、施工及管理的单位，必须具备国家规定的资质条件，取得相应的资质证书、项目质量管理必须严格按照有关规范、规程执行，做到责任明确，奖罚分明，施工所需的材料须经质检部门验收合格方可使用；工程竣工后，应及时报请财政及自然资源行政主管部门组织专家验收。</w:t>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676419"/>
    </w:sdtPr>
    <w:sdtEndPr>
      <w:rPr>
        <w:sz w:val="21"/>
        <w:szCs w:val="21"/>
      </w:rPr>
    </w:sdtEndPr>
    <w:sdtContent>
      <w:p>
        <w:pPr>
          <w:pStyle w:val="11"/>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ZjkyOTFjZGJlNjY5ODQ4NWI2YTMwMzNhZDRjMGIifQ=="/>
  </w:docVars>
  <w:rsids>
    <w:rsidRoot w:val="00292631"/>
    <w:rsid w:val="00002722"/>
    <w:rsid w:val="0000285C"/>
    <w:rsid w:val="00010E31"/>
    <w:rsid w:val="0001132E"/>
    <w:rsid w:val="00012730"/>
    <w:rsid w:val="00014D69"/>
    <w:rsid w:val="0001664A"/>
    <w:rsid w:val="000177B0"/>
    <w:rsid w:val="00022D73"/>
    <w:rsid w:val="00022FE2"/>
    <w:rsid w:val="0002367F"/>
    <w:rsid w:val="00023A22"/>
    <w:rsid w:val="00026A32"/>
    <w:rsid w:val="00027F0A"/>
    <w:rsid w:val="00031E33"/>
    <w:rsid w:val="00033B6A"/>
    <w:rsid w:val="0003712C"/>
    <w:rsid w:val="00040B39"/>
    <w:rsid w:val="00043407"/>
    <w:rsid w:val="00052DA1"/>
    <w:rsid w:val="00053052"/>
    <w:rsid w:val="00055174"/>
    <w:rsid w:val="000557E6"/>
    <w:rsid w:val="00060845"/>
    <w:rsid w:val="0006428A"/>
    <w:rsid w:val="00065AEE"/>
    <w:rsid w:val="00066AA6"/>
    <w:rsid w:val="00067D7E"/>
    <w:rsid w:val="000714BB"/>
    <w:rsid w:val="000736D5"/>
    <w:rsid w:val="000754BA"/>
    <w:rsid w:val="00076170"/>
    <w:rsid w:val="00076F8C"/>
    <w:rsid w:val="000806F6"/>
    <w:rsid w:val="00091229"/>
    <w:rsid w:val="00096AD5"/>
    <w:rsid w:val="000A1408"/>
    <w:rsid w:val="000A47C2"/>
    <w:rsid w:val="000A4CAD"/>
    <w:rsid w:val="000A5D84"/>
    <w:rsid w:val="000A62CD"/>
    <w:rsid w:val="000A6837"/>
    <w:rsid w:val="000B0842"/>
    <w:rsid w:val="000B1850"/>
    <w:rsid w:val="000B2CFB"/>
    <w:rsid w:val="000B44B0"/>
    <w:rsid w:val="000B72E1"/>
    <w:rsid w:val="000C169C"/>
    <w:rsid w:val="000C234A"/>
    <w:rsid w:val="000C38C4"/>
    <w:rsid w:val="000C5536"/>
    <w:rsid w:val="000D0CBE"/>
    <w:rsid w:val="000D0D11"/>
    <w:rsid w:val="000D3DE1"/>
    <w:rsid w:val="000D5925"/>
    <w:rsid w:val="000D6043"/>
    <w:rsid w:val="000D647A"/>
    <w:rsid w:val="000E08D4"/>
    <w:rsid w:val="000E0A0D"/>
    <w:rsid w:val="000E2E4E"/>
    <w:rsid w:val="000E40CD"/>
    <w:rsid w:val="000E48B6"/>
    <w:rsid w:val="000E612D"/>
    <w:rsid w:val="000E7FE6"/>
    <w:rsid w:val="000F0B16"/>
    <w:rsid w:val="000F2361"/>
    <w:rsid w:val="000F77A3"/>
    <w:rsid w:val="000F7B04"/>
    <w:rsid w:val="00100877"/>
    <w:rsid w:val="00100F82"/>
    <w:rsid w:val="0010156A"/>
    <w:rsid w:val="0010252B"/>
    <w:rsid w:val="0010628E"/>
    <w:rsid w:val="00107209"/>
    <w:rsid w:val="001073AC"/>
    <w:rsid w:val="001134A6"/>
    <w:rsid w:val="001153C9"/>
    <w:rsid w:val="00115BEA"/>
    <w:rsid w:val="0012101D"/>
    <w:rsid w:val="0012192C"/>
    <w:rsid w:val="00121D49"/>
    <w:rsid w:val="00122313"/>
    <w:rsid w:val="00131E0E"/>
    <w:rsid w:val="00132D31"/>
    <w:rsid w:val="001331C7"/>
    <w:rsid w:val="001332B7"/>
    <w:rsid w:val="00133C60"/>
    <w:rsid w:val="00133D06"/>
    <w:rsid w:val="00135670"/>
    <w:rsid w:val="00144798"/>
    <w:rsid w:val="0014539E"/>
    <w:rsid w:val="00150784"/>
    <w:rsid w:val="0015154D"/>
    <w:rsid w:val="0015295B"/>
    <w:rsid w:val="00154EB6"/>
    <w:rsid w:val="00155827"/>
    <w:rsid w:val="00155E5E"/>
    <w:rsid w:val="001625F6"/>
    <w:rsid w:val="00164C53"/>
    <w:rsid w:val="00165E03"/>
    <w:rsid w:val="00166AC6"/>
    <w:rsid w:val="00167A09"/>
    <w:rsid w:val="00172C9E"/>
    <w:rsid w:val="00184844"/>
    <w:rsid w:val="001874AA"/>
    <w:rsid w:val="00187539"/>
    <w:rsid w:val="0018753F"/>
    <w:rsid w:val="00187DA9"/>
    <w:rsid w:val="00187EEC"/>
    <w:rsid w:val="001931C0"/>
    <w:rsid w:val="001A07EE"/>
    <w:rsid w:val="001A137E"/>
    <w:rsid w:val="001A1384"/>
    <w:rsid w:val="001A4536"/>
    <w:rsid w:val="001B3120"/>
    <w:rsid w:val="001B75CA"/>
    <w:rsid w:val="001C004B"/>
    <w:rsid w:val="001C2CD6"/>
    <w:rsid w:val="001C3300"/>
    <w:rsid w:val="001C3861"/>
    <w:rsid w:val="001C4B60"/>
    <w:rsid w:val="001C56D0"/>
    <w:rsid w:val="001C74AC"/>
    <w:rsid w:val="001C76CE"/>
    <w:rsid w:val="001D01C0"/>
    <w:rsid w:val="001D5CA5"/>
    <w:rsid w:val="001E07AF"/>
    <w:rsid w:val="001E14E6"/>
    <w:rsid w:val="001E4263"/>
    <w:rsid w:val="001F30C3"/>
    <w:rsid w:val="001F3F45"/>
    <w:rsid w:val="001F5528"/>
    <w:rsid w:val="00200F66"/>
    <w:rsid w:val="00202BFE"/>
    <w:rsid w:val="0020426E"/>
    <w:rsid w:val="00204471"/>
    <w:rsid w:val="002044E6"/>
    <w:rsid w:val="00206A2E"/>
    <w:rsid w:val="00207830"/>
    <w:rsid w:val="002145FD"/>
    <w:rsid w:val="00214F7E"/>
    <w:rsid w:val="00217F36"/>
    <w:rsid w:val="0022077D"/>
    <w:rsid w:val="0022092E"/>
    <w:rsid w:val="00220A24"/>
    <w:rsid w:val="00220F19"/>
    <w:rsid w:val="002211EE"/>
    <w:rsid w:val="0022286C"/>
    <w:rsid w:val="00225CA0"/>
    <w:rsid w:val="00225DE5"/>
    <w:rsid w:val="00233412"/>
    <w:rsid w:val="002346D4"/>
    <w:rsid w:val="00235C42"/>
    <w:rsid w:val="00236431"/>
    <w:rsid w:val="00240D8D"/>
    <w:rsid w:val="00241254"/>
    <w:rsid w:val="00243A2C"/>
    <w:rsid w:val="00243BA7"/>
    <w:rsid w:val="00245B79"/>
    <w:rsid w:val="002462A1"/>
    <w:rsid w:val="0024637E"/>
    <w:rsid w:val="00247C4A"/>
    <w:rsid w:val="002514E4"/>
    <w:rsid w:val="00255809"/>
    <w:rsid w:val="00255D8C"/>
    <w:rsid w:val="00262C03"/>
    <w:rsid w:val="00262D7E"/>
    <w:rsid w:val="00265246"/>
    <w:rsid w:val="00266571"/>
    <w:rsid w:val="0027052B"/>
    <w:rsid w:val="00274419"/>
    <w:rsid w:val="0027510D"/>
    <w:rsid w:val="00275D16"/>
    <w:rsid w:val="00276C6E"/>
    <w:rsid w:val="00280B31"/>
    <w:rsid w:val="00282090"/>
    <w:rsid w:val="00282499"/>
    <w:rsid w:val="00283764"/>
    <w:rsid w:val="00283B08"/>
    <w:rsid w:val="00284156"/>
    <w:rsid w:val="0028523A"/>
    <w:rsid w:val="00285D4D"/>
    <w:rsid w:val="00286730"/>
    <w:rsid w:val="002925E9"/>
    <w:rsid w:val="00292631"/>
    <w:rsid w:val="002971C7"/>
    <w:rsid w:val="00297E9A"/>
    <w:rsid w:val="002A3C22"/>
    <w:rsid w:val="002A4727"/>
    <w:rsid w:val="002A552A"/>
    <w:rsid w:val="002A5880"/>
    <w:rsid w:val="002A6836"/>
    <w:rsid w:val="002A76C3"/>
    <w:rsid w:val="002B2615"/>
    <w:rsid w:val="002B346E"/>
    <w:rsid w:val="002B3D7E"/>
    <w:rsid w:val="002B6C8E"/>
    <w:rsid w:val="002C0752"/>
    <w:rsid w:val="002C434A"/>
    <w:rsid w:val="002C4E55"/>
    <w:rsid w:val="002C5116"/>
    <w:rsid w:val="002D108D"/>
    <w:rsid w:val="002D1E73"/>
    <w:rsid w:val="002D7AF9"/>
    <w:rsid w:val="002E0AA4"/>
    <w:rsid w:val="002E1C4F"/>
    <w:rsid w:val="002E31D6"/>
    <w:rsid w:val="002E4000"/>
    <w:rsid w:val="002E4250"/>
    <w:rsid w:val="002E5B1D"/>
    <w:rsid w:val="002E6A7E"/>
    <w:rsid w:val="002E76FE"/>
    <w:rsid w:val="002E78CE"/>
    <w:rsid w:val="002E7D4F"/>
    <w:rsid w:val="002F08A1"/>
    <w:rsid w:val="002F177B"/>
    <w:rsid w:val="002F3082"/>
    <w:rsid w:val="002F78ED"/>
    <w:rsid w:val="003006C4"/>
    <w:rsid w:val="00300DD3"/>
    <w:rsid w:val="00303791"/>
    <w:rsid w:val="00303A97"/>
    <w:rsid w:val="00304DA4"/>
    <w:rsid w:val="00306F98"/>
    <w:rsid w:val="0031033A"/>
    <w:rsid w:val="0031099B"/>
    <w:rsid w:val="00312B3C"/>
    <w:rsid w:val="00314B5A"/>
    <w:rsid w:val="0032236F"/>
    <w:rsid w:val="00323EC4"/>
    <w:rsid w:val="00323EF8"/>
    <w:rsid w:val="003243E4"/>
    <w:rsid w:val="0032710F"/>
    <w:rsid w:val="00327300"/>
    <w:rsid w:val="0032759B"/>
    <w:rsid w:val="00327AE2"/>
    <w:rsid w:val="00330316"/>
    <w:rsid w:val="00332B1C"/>
    <w:rsid w:val="00333A75"/>
    <w:rsid w:val="00335502"/>
    <w:rsid w:val="003355E4"/>
    <w:rsid w:val="00335C6F"/>
    <w:rsid w:val="0034573C"/>
    <w:rsid w:val="00350A9C"/>
    <w:rsid w:val="00355267"/>
    <w:rsid w:val="0036165B"/>
    <w:rsid w:val="00364CAD"/>
    <w:rsid w:val="0036521B"/>
    <w:rsid w:val="003667B4"/>
    <w:rsid w:val="003671AE"/>
    <w:rsid w:val="003712D0"/>
    <w:rsid w:val="003715E9"/>
    <w:rsid w:val="00374834"/>
    <w:rsid w:val="003766A7"/>
    <w:rsid w:val="003776F2"/>
    <w:rsid w:val="003845D6"/>
    <w:rsid w:val="00384E3F"/>
    <w:rsid w:val="00391A1C"/>
    <w:rsid w:val="00391FCC"/>
    <w:rsid w:val="00396D81"/>
    <w:rsid w:val="003A131C"/>
    <w:rsid w:val="003A496F"/>
    <w:rsid w:val="003A5597"/>
    <w:rsid w:val="003A745C"/>
    <w:rsid w:val="003B0658"/>
    <w:rsid w:val="003B28FB"/>
    <w:rsid w:val="003B3ADF"/>
    <w:rsid w:val="003B5794"/>
    <w:rsid w:val="003B5DB5"/>
    <w:rsid w:val="003B787B"/>
    <w:rsid w:val="003C06A4"/>
    <w:rsid w:val="003C0961"/>
    <w:rsid w:val="003C0D26"/>
    <w:rsid w:val="003C1959"/>
    <w:rsid w:val="003C358B"/>
    <w:rsid w:val="003C410A"/>
    <w:rsid w:val="003C60B9"/>
    <w:rsid w:val="003C7256"/>
    <w:rsid w:val="003C7EC6"/>
    <w:rsid w:val="003D4E69"/>
    <w:rsid w:val="003D5389"/>
    <w:rsid w:val="003E13DA"/>
    <w:rsid w:val="003E15D2"/>
    <w:rsid w:val="003E21FC"/>
    <w:rsid w:val="003E36A7"/>
    <w:rsid w:val="003E378A"/>
    <w:rsid w:val="003E37FD"/>
    <w:rsid w:val="003E3BB7"/>
    <w:rsid w:val="003F03FD"/>
    <w:rsid w:val="003F3A2F"/>
    <w:rsid w:val="003F7EAE"/>
    <w:rsid w:val="00400645"/>
    <w:rsid w:val="0040070C"/>
    <w:rsid w:val="00400CDF"/>
    <w:rsid w:val="00401AA9"/>
    <w:rsid w:val="004030A5"/>
    <w:rsid w:val="00407AE0"/>
    <w:rsid w:val="00411374"/>
    <w:rsid w:val="0041231C"/>
    <w:rsid w:val="00413A97"/>
    <w:rsid w:val="00413F79"/>
    <w:rsid w:val="00414D78"/>
    <w:rsid w:val="0041584A"/>
    <w:rsid w:val="0041747E"/>
    <w:rsid w:val="00420E2A"/>
    <w:rsid w:val="00423613"/>
    <w:rsid w:val="004241AE"/>
    <w:rsid w:val="0042700D"/>
    <w:rsid w:val="004275D4"/>
    <w:rsid w:val="004310CA"/>
    <w:rsid w:val="004317FE"/>
    <w:rsid w:val="00433BDD"/>
    <w:rsid w:val="00435BAC"/>
    <w:rsid w:val="0044053E"/>
    <w:rsid w:val="00441FE4"/>
    <w:rsid w:val="00443285"/>
    <w:rsid w:val="004437EA"/>
    <w:rsid w:val="00445280"/>
    <w:rsid w:val="00446C23"/>
    <w:rsid w:val="0044740F"/>
    <w:rsid w:val="004544DB"/>
    <w:rsid w:val="00455C6C"/>
    <w:rsid w:val="00456CD1"/>
    <w:rsid w:val="00462683"/>
    <w:rsid w:val="004656F9"/>
    <w:rsid w:val="00465E8E"/>
    <w:rsid w:val="004660B2"/>
    <w:rsid w:val="004712AC"/>
    <w:rsid w:val="00473F6D"/>
    <w:rsid w:val="00474310"/>
    <w:rsid w:val="00474AFE"/>
    <w:rsid w:val="00476B09"/>
    <w:rsid w:val="00476D3F"/>
    <w:rsid w:val="00477CC2"/>
    <w:rsid w:val="004874C8"/>
    <w:rsid w:val="00487B1C"/>
    <w:rsid w:val="00487EDA"/>
    <w:rsid w:val="004909F9"/>
    <w:rsid w:val="00491C92"/>
    <w:rsid w:val="00497079"/>
    <w:rsid w:val="00497CFC"/>
    <w:rsid w:val="004A0001"/>
    <w:rsid w:val="004A083A"/>
    <w:rsid w:val="004A19C2"/>
    <w:rsid w:val="004A3058"/>
    <w:rsid w:val="004A381B"/>
    <w:rsid w:val="004A61FC"/>
    <w:rsid w:val="004B2827"/>
    <w:rsid w:val="004B72AA"/>
    <w:rsid w:val="004C057B"/>
    <w:rsid w:val="004C093C"/>
    <w:rsid w:val="004C2AD4"/>
    <w:rsid w:val="004C3F50"/>
    <w:rsid w:val="004C52D1"/>
    <w:rsid w:val="004C754C"/>
    <w:rsid w:val="004C7ABF"/>
    <w:rsid w:val="004C7B2B"/>
    <w:rsid w:val="004C7C5E"/>
    <w:rsid w:val="004D15E7"/>
    <w:rsid w:val="004D6013"/>
    <w:rsid w:val="004E188C"/>
    <w:rsid w:val="004E29CA"/>
    <w:rsid w:val="004E6567"/>
    <w:rsid w:val="004E7235"/>
    <w:rsid w:val="004F0793"/>
    <w:rsid w:val="004F3EA9"/>
    <w:rsid w:val="004F47DB"/>
    <w:rsid w:val="004F548A"/>
    <w:rsid w:val="004F79F1"/>
    <w:rsid w:val="00500EFB"/>
    <w:rsid w:val="005048BC"/>
    <w:rsid w:val="00506BC8"/>
    <w:rsid w:val="00512B7E"/>
    <w:rsid w:val="00512DF2"/>
    <w:rsid w:val="0051640B"/>
    <w:rsid w:val="00520186"/>
    <w:rsid w:val="0052042F"/>
    <w:rsid w:val="00520E30"/>
    <w:rsid w:val="00522AFB"/>
    <w:rsid w:val="00531E59"/>
    <w:rsid w:val="0053507F"/>
    <w:rsid w:val="005365D0"/>
    <w:rsid w:val="0054110C"/>
    <w:rsid w:val="00542B88"/>
    <w:rsid w:val="00544215"/>
    <w:rsid w:val="005443D3"/>
    <w:rsid w:val="00544D23"/>
    <w:rsid w:val="00545A24"/>
    <w:rsid w:val="00547B19"/>
    <w:rsid w:val="00547E68"/>
    <w:rsid w:val="005511AE"/>
    <w:rsid w:val="00551EDC"/>
    <w:rsid w:val="005531E1"/>
    <w:rsid w:val="00553D42"/>
    <w:rsid w:val="00555758"/>
    <w:rsid w:val="00555E81"/>
    <w:rsid w:val="00555F3D"/>
    <w:rsid w:val="00556F8F"/>
    <w:rsid w:val="00557831"/>
    <w:rsid w:val="0056120F"/>
    <w:rsid w:val="00561953"/>
    <w:rsid w:val="0056247D"/>
    <w:rsid w:val="00562906"/>
    <w:rsid w:val="00563274"/>
    <w:rsid w:val="00565826"/>
    <w:rsid w:val="00570CBD"/>
    <w:rsid w:val="00570E4F"/>
    <w:rsid w:val="0057229E"/>
    <w:rsid w:val="00573E5D"/>
    <w:rsid w:val="00575AEC"/>
    <w:rsid w:val="005802C4"/>
    <w:rsid w:val="0058293C"/>
    <w:rsid w:val="00585EB1"/>
    <w:rsid w:val="00590B4A"/>
    <w:rsid w:val="00591D7D"/>
    <w:rsid w:val="005922F9"/>
    <w:rsid w:val="00593185"/>
    <w:rsid w:val="0059507C"/>
    <w:rsid w:val="005A02FB"/>
    <w:rsid w:val="005A2C63"/>
    <w:rsid w:val="005A2DBD"/>
    <w:rsid w:val="005A4DAC"/>
    <w:rsid w:val="005A5843"/>
    <w:rsid w:val="005A6BE5"/>
    <w:rsid w:val="005A705C"/>
    <w:rsid w:val="005B23AB"/>
    <w:rsid w:val="005B44F5"/>
    <w:rsid w:val="005C017F"/>
    <w:rsid w:val="005C4462"/>
    <w:rsid w:val="005D0151"/>
    <w:rsid w:val="005D1706"/>
    <w:rsid w:val="005D2B76"/>
    <w:rsid w:val="005D30F9"/>
    <w:rsid w:val="005D5053"/>
    <w:rsid w:val="005D7C1B"/>
    <w:rsid w:val="005E136B"/>
    <w:rsid w:val="005E1924"/>
    <w:rsid w:val="005E3605"/>
    <w:rsid w:val="005E42B3"/>
    <w:rsid w:val="005E57E5"/>
    <w:rsid w:val="005E5B67"/>
    <w:rsid w:val="005E6484"/>
    <w:rsid w:val="005F1336"/>
    <w:rsid w:val="005F3B84"/>
    <w:rsid w:val="00604DE8"/>
    <w:rsid w:val="00607078"/>
    <w:rsid w:val="00612CAB"/>
    <w:rsid w:val="00612DA1"/>
    <w:rsid w:val="00613159"/>
    <w:rsid w:val="00614134"/>
    <w:rsid w:val="00620137"/>
    <w:rsid w:val="00620244"/>
    <w:rsid w:val="00620C5A"/>
    <w:rsid w:val="006231EC"/>
    <w:rsid w:val="00625C0A"/>
    <w:rsid w:val="006324AF"/>
    <w:rsid w:val="006377B3"/>
    <w:rsid w:val="00640C48"/>
    <w:rsid w:val="00642C28"/>
    <w:rsid w:val="00642CE9"/>
    <w:rsid w:val="00643ECC"/>
    <w:rsid w:val="00646DD7"/>
    <w:rsid w:val="006505D5"/>
    <w:rsid w:val="00650849"/>
    <w:rsid w:val="00652082"/>
    <w:rsid w:val="006567EE"/>
    <w:rsid w:val="006569E7"/>
    <w:rsid w:val="006615DF"/>
    <w:rsid w:val="00662D82"/>
    <w:rsid w:val="00662F04"/>
    <w:rsid w:val="00666E2D"/>
    <w:rsid w:val="006674ED"/>
    <w:rsid w:val="00667787"/>
    <w:rsid w:val="00671977"/>
    <w:rsid w:val="006732BE"/>
    <w:rsid w:val="006821BB"/>
    <w:rsid w:val="00682BD5"/>
    <w:rsid w:val="006831E6"/>
    <w:rsid w:val="00684831"/>
    <w:rsid w:val="00684EE8"/>
    <w:rsid w:val="00685C53"/>
    <w:rsid w:val="0068785C"/>
    <w:rsid w:val="00690009"/>
    <w:rsid w:val="00692A36"/>
    <w:rsid w:val="0069457B"/>
    <w:rsid w:val="00695C11"/>
    <w:rsid w:val="006969DF"/>
    <w:rsid w:val="006A010E"/>
    <w:rsid w:val="006A0DE6"/>
    <w:rsid w:val="006A26C0"/>
    <w:rsid w:val="006A3E6A"/>
    <w:rsid w:val="006A59B7"/>
    <w:rsid w:val="006A638F"/>
    <w:rsid w:val="006A778C"/>
    <w:rsid w:val="006A7CFA"/>
    <w:rsid w:val="006B0637"/>
    <w:rsid w:val="006B1534"/>
    <w:rsid w:val="006B3A5E"/>
    <w:rsid w:val="006B64BA"/>
    <w:rsid w:val="006C1792"/>
    <w:rsid w:val="006C180F"/>
    <w:rsid w:val="006C236E"/>
    <w:rsid w:val="006C3BDC"/>
    <w:rsid w:val="006C4C94"/>
    <w:rsid w:val="006C62DD"/>
    <w:rsid w:val="006C6A43"/>
    <w:rsid w:val="006D00B6"/>
    <w:rsid w:val="006D61EF"/>
    <w:rsid w:val="006D65CA"/>
    <w:rsid w:val="006E371F"/>
    <w:rsid w:val="006E39E4"/>
    <w:rsid w:val="006F204D"/>
    <w:rsid w:val="006F393A"/>
    <w:rsid w:val="006F4A65"/>
    <w:rsid w:val="006F5F16"/>
    <w:rsid w:val="006F7513"/>
    <w:rsid w:val="006F79C1"/>
    <w:rsid w:val="006F7E62"/>
    <w:rsid w:val="007036B5"/>
    <w:rsid w:val="00711822"/>
    <w:rsid w:val="00723310"/>
    <w:rsid w:val="007245B8"/>
    <w:rsid w:val="007279ED"/>
    <w:rsid w:val="00730186"/>
    <w:rsid w:val="007302CB"/>
    <w:rsid w:val="007308C9"/>
    <w:rsid w:val="0073138C"/>
    <w:rsid w:val="00735145"/>
    <w:rsid w:val="00740C0A"/>
    <w:rsid w:val="0074127B"/>
    <w:rsid w:val="00741547"/>
    <w:rsid w:val="00742ADA"/>
    <w:rsid w:val="00744954"/>
    <w:rsid w:val="007456EC"/>
    <w:rsid w:val="00746214"/>
    <w:rsid w:val="00751B75"/>
    <w:rsid w:val="007546C8"/>
    <w:rsid w:val="00760B90"/>
    <w:rsid w:val="007620CE"/>
    <w:rsid w:val="00762D99"/>
    <w:rsid w:val="0076470C"/>
    <w:rsid w:val="00764B28"/>
    <w:rsid w:val="007657EF"/>
    <w:rsid w:val="007707EA"/>
    <w:rsid w:val="00770ACA"/>
    <w:rsid w:val="0077454C"/>
    <w:rsid w:val="00775831"/>
    <w:rsid w:val="00780DD3"/>
    <w:rsid w:val="007826A5"/>
    <w:rsid w:val="00785AC9"/>
    <w:rsid w:val="00790818"/>
    <w:rsid w:val="00794ABB"/>
    <w:rsid w:val="00795CA9"/>
    <w:rsid w:val="0079605C"/>
    <w:rsid w:val="007A256C"/>
    <w:rsid w:val="007A2B82"/>
    <w:rsid w:val="007A3CE8"/>
    <w:rsid w:val="007A5EB6"/>
    <w:rsid w:val="007A792D"/>
    <w:rsid w:val="007B02C5"/>
    <w:rsid w:val="007B18B2"/>
    <w:rsid w:val="007B4C52"/>
    <w:rsid w:val="007B68BD"/>
    <w:rsid w:val="007C01DC"/>
    <w:rsid w:val="007C11CA"/>
    <w:rsid w:val="007C39F0"/>
    <w:rsid w:val="007C51C6"/>
    <w:rsid w:val="007D120B"/>
    <w:rsid w:val="007D19FF"/>
    <w:rsid w:val="007D3375"/>
    <w:rsid w:val="007D35D3"/>
    <w:rsid w:val="007D3A71"/>
    <w:rsid w:val="007D5D5D"/>
    <w:rsid w:val="007D71D8"/>
    <w:rsid w:val="007E0AF9"/>
    <w:rsid w:val="007E17B2"/>
    <w:rsid w:val="007E3BCE"/>
    <w:rsid w:val="007E41E5"/>
    <w:rsid w:val="007F1452"/>
    <w:rsid w:val="007F31E1"/>
    <w:rsid w:val="007F409B"/>
    <w:rsid w:val="007F5CC3"/>
    <w:rsid w:val="008000E6"/>
    <w:rsid w:val="0080109C"/>
    <w:rsid w:val="00802C5A"/>
    <w:rsid w:val="00802E98"/>
    <w:rsid w:val="0080317F"/>
    <w:rsid w:val="0080383C"/>
    <w:rsid w:val="00804568"/>
    <w:rsid w:val="00805748"/>
    <w:rsid w:val="00807F2A"/>
    <w:rsid w:val="00812C80"/>
    <w:rsid w:val="00814582"/>
    <w:rsid w:val="008150F5"/>
    <w:rsid w:val="0081513B"/>
    <w:rsid w:val="0081693E"/>
    <w:rsid w:val="00823B45"/>
    <w:rsid w:val="0082562C"/>
    <w:rsid w:val="008300B7"/>
    <w:rsid w:val="00832956"/>
    <w:rsid w:val="00837D7A"/>
    <w:rsid w:val="008425A3"/>
    <w:rsid w:val="00843860"/>
    <w:rsid w:val="0084456D"/>
    <w:rsid w:val="00846878"/>
    <w:rsid w:val="008518A0"/>
    <w:rsid w:val="008521E6"/>
    <w:rsid w:val="00855C90"/>
    <w:rsid w:val="008561DE"/>
    <w:rsid w:val="008564C5"/>
    <w:rsid w:val="00856CD2"/>
    <w:rsid w:val="00860461"/>
    <w:rsid w:val="0086323C"/>
    <w:rsid w:val="00864DC6"/>
    <w:rsid w:val="008700FB"/>
    <w:rsid w:val="008742A1"/>
    <w:rsid w:val="0087701A"/>
    <w:rsid w:val="00880A13"/>
    <w:rsid w:val="00881899"/>
    <w:rsid w:val="00884572"/>
    <w:rsid w:val="00885706"/>
    <w:rsid w:val="008860BB"/>
    <w:rsid w:val="0088775D"/>
    <w:rsid w:val="00887999"/>
    <w:rsid w:val="008903A9"/>
    <w:rsid w:val="00891241"/>
    <w:rsid w:val="00891B41"/>
    <w:rsid w:val="008930DB"/>
    <w:rsid w:val="008935EE"/>
    <w:rsid w:val="00894D4C"/>
    <w:rsid w:val="00894F6F"/>
    <w:rsid w:val="0089518B"/>
    <w:rsid w:val="00897A7D"/>
    <w:rsid w:val="008A0B42"/>
    <w:rsid w:val="008A1D89"/>
    <w:rsid w:val="008A3724"/>
    <w:rsid w:val="008A5FA8"/>
    <w:rsid w:val="008A6393"/>
    <w:rsid w:val="008B021B"/>
    <w:rsid w:val="008B027D"/>
    <w:rsid w:val="008B19A8"/>
    <w:rsid w:val="008B1D91"/>
    <w:rsid w:val="008C1C61"/>
    <w:rsid w:val="008C2AB1"/>
    <w:rsid w:val="008C2F22"/>
    <w:rsid w:val="008C3323"/>
    <w:rsid w:val="008C59A2"/>
    <w:rsid w:val="008C6382"/>
    <w:rsid w:val="008C6A8E"/>
    <w:rsid w:val="008C6DD1"/>
    <w:rsid w:val="008D0D93"/>
    <w:rsid w:val="008D210B"/>
    <w:rsid w:val="008D46F5"/>
    <w:rsid w:val="008D4D0F"/>
    <w:rsid w:val="008D533A"/>
    <w:rsid w:val="008D5E07"/>
    <w:rsid w:val="008D621E"/>
    <w:rsid w:val="008D69E4"/>
    <w:rsid w:val="008D6CBF"/>
    <w:rsid w:val="008E00DD"/>
    <w:rsid w:val="008E060B"/>
    <w:rsid w:val="008E1D15"/>
    <w:rsid w:val="008E1F64"/>
    <w:rsid w:val="008E25E6"/>
    <w:rsid w:val="008E2F04"/>
    <w:rsid w:val="008E54E6"/>
    <w:rsid w:val="008E7A4F"/>
    <w:rsid w:val="008F019A"/>
    <w:rsid w:val="008F03F4"/>
    <w:rsid w:val="008F2BA6"/>
    <w:rsid w:val="008F2FBE"/>
    <w:rsid w:val="008F3CD6"/>
    <w:rsid w:val="008F40F5"/>
    <w:rsid w:val="008F539F"/>
    <w:rsid w:val="008F5915"/>
    <w:rsid w:val="008F5F85"/>
    <w:rsid w:val="009032FC"/>
    <w:rsid w:val="00905EFD"/>
    <w:rsid w:val="00907CDF"/>
    <w:rsid w:val="00911B0D"/>
    <w:rsid w:val="009245FB"/>
    <w:rsid w:val="009246EC"/>
    <w:rsid w:val="00930A1F"/>
    <w:rsid w:val="00931DC1"/>
    <w:rsid w:val="009326D5"/>
    <w:rsid w:val="009344B8"/>
    <w:rsid w:val="00934593"/>
    <w:rsid w:val="009349DB"/>
    <w:rsid w:val="00935539"/>
    <w:rsid w:val="00935AF1"/>
    <w:rsid w:val="00936FAE"/>
    <w:rsid w:val="00941D75"/>
    <w:rsid w:val="00944F86"/>
    <w:rsid w:val="009463D6"/>
    <w:rsid w:val="009464D1"/>
    <w:rsid w:val="00951CFF"/>
    <w:rsid w:val="00952EE5"/>
    <w:rsid w:val="0095329F"/>
    <w:rsid w:val="009540DF"/>
    <w:rsid w:val="00962792"/>
    <w:rsid w:val="00963DD1"/>
    <w:rsid w:val="009652F7"/>
    <w:rsid w:val="009660F7"/>
    <w:rsid w:val="0097263C"/>
    <w:rsid w:val="00973E2D"/>
    <w:rsid w:val="00976FD9"/>
    <w:rsid w:val="009809A4"/>
    <w:rsid w:val="00982FE0"/>
    <w:rsid w:val="00987BCD"/>
    <w:rsid w:val="00990364"/>
    <w:rsid w:val="00990CE8"/>
    <w:rsid w:val="00991CF4"/>
    <w:rsid w:val="00991DE6"/>
    <w:rsid w:val="0099424B"/>
    <w:rsid w:val="00994B97"/>
    <w:rsid w:val="009953A6"/>
    <w:rsid w:val="009965E5"/>
    <w:rsid w:val="00997A45"/>
    <w:rsid w:val="009A0A55"/>
    <w:rsid w:val="009A29C0"/>
    <w:rsid w:val="009A3B22"/>
    <w:rsid w:val="009A3E7B"/>
    <w:rsid w:val="009A645C"/>
    <w:rsid w:val="009B0439"/>
    <w:rsid w:val="009B0654"/>
    <w:rsid w:val="009B12E4"/>
    <w:rsid w:val="009B1A04"/>
    <w:rsid w:val="009B3910"/>
    <w:rsid w:val="009B416F"/>
    <w:rsid w:val="009B768A"/>
    <w:rsid w:val="009B7E5E"/>
    <w:rsid w:val="009C16FC"/>
    <w:rsid w:val="009C24D5"/>
    <w:rsid w:val="009C254D"/>
    <w:rsid w:val="009C61CC"/>
    <w:rsid w:val="009C63AE"/>
    <w:rsid w:val="009C79AD"/>
    <w:rsid w:val="009D016E"/>
    <w:rsid w:val="009D089A"/>
    <w:rsid w:val="009D2CEC"/>
    <w:rsid w:val="009D4299"/>
    <w:rsid w:val="009D624B"/>
    <w:rsid w:val="009E09BC"/>
    <w:rsid w:val="009E1088"/>
    <w:rsid w:val="009E3D45"/>
    <w:rsid w:val="009E45CF"/>
    <w:rsid w:val="009E7E79"/>
    <w:rsid w:val="009F22CB"/>
    <w:rsid w:val="009F2E74"/>
    <w:rsid w:val="009F77B4"/>
    <w:rsid w:val="00A01D5D"/>
    <w:rsid w:val="00A02A98"/>
    <w:rsid w:val="00A02C77"/>
    <w:rsid w:val="00A04A10"/>
    <w:rsid w:val="00A04DDF"/>
    <w:rsid w:val="00A1133E"/>
    <w:rsid w:val="00A13909"/>
    <w:rsid w:val="00A14B84"/>
    <w:rsid w:val="00A151F4"/>
    <w:rsid w:val="00A159E9"/>
    <w:rsid w:val="00A15A6D"/>
    <w:rsid w:val="00A16DE7"/>
    <w:rsid w:val="00A306E3"/>
    <w:rsid w:val="00A32151"/>
    <w:rsid w:val="00A32AC0"/>
    <w:rsid w:val="00A32B02"/>
    <w:rsid w:val="00A34266"/>
    <w:rsid w:val="00A34BDC"/>
    <w:rsid w:val="00A4390C"/>
    <w:rsid w:val="00A43B76"/>
    <w:rsid w:val="00A44F93"/>
    <w:rsid w:val="00A45DB6"/>
    <w:rsid w:val="00A46287"/>
    <w:rsid w:val="00A5215F"/>
    <w:rsid w:val="00A52971"/>
    <w:rsid w:val="00A536E8"/>
    <w:rsid w:val="00A571E3"/>
    <w:rsid w:val="00A61A80"/>
    <w:rsid w:val="00A67A75"/>
    <w:rsid w:val="00A72A82"/>
    <w:rsid w:val="00A74078"/>
    <w:rsid w:val="00A74960"/>
    <w:rsid w:val="00A77669"/>
    <w:rsid w:val="00A7767D"/>
    <w:rsid w:val="00A80991"/>
    <w:rsid w:val="00A81B2F"/>
    <w:rsid w:val="00A8270E"/>
    <w:rsid w:val="00A82A66"/>
    <w:rsid w:val="00A83DA6"/>
    <w:rsid w:val="00A86D38"/>
    <w:rsid w:val="00A92F14"/>
    <w:rsid w:val="00A93087"/>
    <w:rsid w:val="00A93361"/>
    <w:rsid w:val="00A939D9"/>
    <w:rsid w:val="00A94D2E"/>
    <w:rsid w:val="00A94FA6"/>
    <w:rsid w:val="00A977D9"/>
    <w:rsid w:val="00AA027E"/>
    <w:rsid w:val="00AA7E75"/>
    <w:rsid w:val="00AA7EDE"/>
    <w:rsid w:val="00AB11D3"/>
    <w:rsid w:val="00AB35D0"/>
    <w:rsid w:val="00AB5D89"/>
    <w:rsid w:val="00AB6320"/>
    <w:rsid w:val="00AB767D"/>
    <w:rsid w:val="00AC0DBE"/>
    <w:rsid w:val="00AC2F5F"/>
    <w:rsid w:val="00AC3815"/>
    <w:rsid w:val="00AC64B0"/>
    <w:rsid w:val="00AC6C32"/>
    <w:rsid w:val="00AC72EB"/>
    <w:rsid w:val="00AD1149"/>
    <w:rsid w:val="00AD1FAD"/>
    <w:rsid w:val="00AE0923"/>
    <w:rsid w:val="00AE1BD9"/>
    <w:rsid w:val="00AE26A8"/>
    <w:rsid w:val="00AE3C04"/>
    <w:rsid w:val="00AE5A67"/>
    <w:rsid w:val="00AE747E"/>
    <w:rsid w:val="00AF5499"/>
    <w:rsid w:val="00AF5DA7"/>
    <w:rsid w:val="00AF683D"/>
    <w:rsid w:val="00AF73E7"/>
    <w:rsid w:val="00B01C31"/>
    <w:rsid w:val="00B02D1A"/>
    <w:rsid w:val="00B040B5"/>
    <w:rsid w:val="00B04F09"/>
    <w:rsid w:val="00B0721A"/>
    <w:rsid w:val="00B07318"/>
    <w:rsid w:val="00B1205E"/>
    <w:rsid w:val="00B15644"/>
    <w:rsid w:val="00B20937"/>
    <w:rsid w:val="00B209AF"/>
    <w:rsid w:val="00B22E61"/>
    <w:rsid w:val="00B23FF2"/>
    <w:rsid w:val="00B24068"/>
    <w:rsid w:val="00B26D7F"/>
    <w:rsid w:val="00B27EC1"/>
    <w:rsid w:val="00B31D25"/>
    <w:rsid w:val="00B32B0A"/>
    <w:rsid w:val="00B33C33"/>
    <w:rsid w:val="00B34245"/>
    <w:rsid w:val="00B43C0E"/>
    <w:rsid w:val="00B46B3B"/>
    <w:rsid w:val="00B47128"/>
    <w:rsid w:val="00B47303"/>
    <w:rsid w:val="00B52DF5"/>
    <w:rsid w:val="00B55110"/>
    <w:rsid w:val="00B55419"/>
    <w:rsid w:val="00B605A8"/>
    <w:rsid w:val="00B64949"/>
    <w:rsid w:val="00B64C20"/>
    <w:rsid w:val="00B65DC6"/>
    <w:rsid w:val="00B726E3"/>
    <w:rsid w:val="00B72FA5"/>
    <w:rsid w:val="00B73B00"/>
    <w:rsid w:val="00B7626D"/>
    <w:rsid w:val="00B764DF"/>
    <w:rsid w:val="00B8073B"/>
    <w:rsid w:val="00B8141D"/>
    <w:rsid w:val="00B837EB"/>
    <w:rsid w:val="00B86081"/>
    <w:rsid w:val="00B861BB"/>
    <w:rsid w:val="00B86B8B"/>
    <w:rsid w:val="00B87723"/>
    <w:rsid w:val="00B9123B"/>
    <w:rsid w:val="00B91C67"/>
    <w:rsid w:val="00B91E82"/>
    <w:rsid w:val="00B93527"/>
    <w:rsid w:val="00B94E43"/>
    <w:rsid w:val="00B96DB0"/>
    <w:rsid w:val="00BA20FB"/>
    <w:rsid w:val="00BA2FE0"/>
    <w:rsid w:val="00BA676A"/>
    <w:rsid w:val="00BA6D52"/>
    <w:rsid w:val="00BB38C6"/>
    <w:rsid w:val="00BB4399"/>
    <w:rsid w:val="00BB53CC"/>
    <w:rsid w:val="00BB7329"/>
    <w:rsid w:val="00BC26E8"/>
    <w:rsid w:val="00BC4806"/>
    <w:rsid w:val="00BC50F1"/>
    <w:rsid w:val="00BC53FE"/>
    <w:rsid w:val="00BD1E64"/>
    <w:rsid w:val="00BE1538"/>
    <w:rsid w:val="00BE317B"/>
    <w:rsid w:val="00BE4B1A"/>
    <w:rsid w:val="00BE5BBA"/>
    <w:rsid w:val="00BF4708"/>
    <w:rsid w:val="00BF4C30"/>
    <w:rsid w:val="00BF5E09"/>
    <w:rsid w:val="00BF63F6"/>
    <w:rsid w:val="00BF64BC"/>
    <w:rsid w:val="00BF68A0"/>
    <w:rsid w:val="00BF7AE8"/>
    <w:rsid w:val="00C00361"/>
    <w:rsid w:val="00C02C25"/>
    <w:rsid w:val="00C06F8D"/>
    <w:rsid w:val="00C13454"/>
    <w:rsid w:val="00C13ED7"/>
    <w:rsid w:val="00C1454E"/>
    <w:rsid w:val="00C15163"/>
    <w:rsid w:val="00C2107B"/>
    <w:rsid w:val="00C259C4"/>
    <w:rsid w:val="00C260D6"/>
    <w:rsid w:val="00C30DF5"/>
    <w:rsid w:val="00C35314"/>
    <w:rsid w:val="00C415F6"/>
    <w:rsid w:val="00C43CBE"/>
    <w:rsid w:val="00C46644"/>
    <w:rsid w:val="00C470ED"/>
    <w:rsid w:val="00C513E6"/>
    <w:rsid w:val="00C51EA9"/>
    <w:rsid w:val="00C559CC"/>
    <w:rsid w:val="00C56533"/>
    <w:rsid w:val="00C572A3"/>
    <w:rsid w:val="00C620BF"/>
    <w:rsid w:val="00C66705"/>
    <w:rsid w:val="00C66AF7"/>
    <w:rsid w:val="00C6730B"/>
    <w:rsid w:val="00C72915"/>
    <w:rsid w:val="00C744EC"/>
    <w:rsid w:val="00C74500"/>
    <w:rsid w:val="00C75BDE"/>
    <w:rsid w:val="00C77B71"/>
    <w:rsid w:val="00C8144D"/>
    <w:rsid w:val="00C85E00"/>
    <w:rsid w:val="00C874A3"/>
    <w:rsid w:val="00C931B7"/>
    <w:rsid w:val="00C9547F"/>
    <w:rsid w:val="00C96A86"/>
    <w:rsid w:val="00C96EFA"/>
    <w:rsid w:val="00C974DE"/>
    <w:rsid w:val="00CA1E3C"/>
    <w:rsid w:val="00CA2096"/>
    <w:rsid w:val="00CA38D1"/>
    <w:rsid w:val="00CA60E7"/>
    <w:rsid w:val="00CA7EF7"/>
    <w:rsid w:val="00CB22BD"/>
    <w:rsid w:val="00CB22F7"/>
    <w:rsid w:val="00CB3C98"/>
    <w:rsid w:val="00CB45D2"/>
    <w:rsid w:val="00CB46C2"/>
    <w:rsid w:val="00CB4F5B"/>
    <w:rsid w:val="00CB591C"/>
    <w:rsid w:val="00CB7881"/>
    <w:rsid w:val="00CC1FB1"/>
    <w:rsid w:val="00CC1FF6"/>
    <w:rsid w:val="00CC217A"/>
    <w:rsid w:val="00CC2749"/>
    <w:rsid w:val="00CC302C"/>
    <w:rsid w:val="00CC5344"/>
    <w:rsid w:val="00CC6187"/>
    <w:rsid w:val="00CC6E49"/>
    <w:rsid w:val="00CD1167"/>
    <w:rsid w:val="00CD198B"/>
    <w:rsid w:val="00CD372F"/>
    <w:rsid w:val="00CD6E3D"/>
    <w:rsid w:val="00CD6F3F"/>
    <w:rsid w:val="00CE0E24"/>
    <w:rsid w:val="00CE256A"/>
    <w:rsid w:val="00CE2C8F"/>
    <w:rsid w:val="00CE4C97"/>
    <w:rsid w:val="00CE5446"/>
    <w:rsid w:val="00CE6219"/>
    <w:rsid w:val="00CE68DE"/>
    <w:rsid w:val="00CE7214"/>
    <w:rsid w:val="00CE7818"/>
    <w:rsid w:val="00CE7E0D"/>
    <w:rsid w:val="00CF1BF7"/>
    <w:rsid w:val="00CF2ED1"/>
    <w:rsid w:val="00CF60C1"/>
    <w:rsid w:val="00CF6B33"/>
    <w:rsid w:val="00CF71E6"/>
    <w:rsid w:val="00D04921"/>
    <w:rsid w:val="00D1426C"/>
    <w:rsid w:val="00D15BF4"/>
    <w:rsid w:val="00D1719A"/>
    <w:rsid w:val="00D2016C"/>
    <w:rsid w:val="00D21E93"/>
    <w:rsid w:val="00D22587"/>
    <w:rsid w:val="00D23E17"/>
    <w:rsid w:val="00D27D2E"/>
    <w:rsid w:val="00D30FB7"/>
    <w:rsid w:val="00D31682"/>
    <w:rsid w:val="00D328F0"/>
    <w:rsid w:val="00D333E6"/>
    <w:rsid w:val="00D34027"/>
    <w:rsid w:val="00D34895"/>
    <w:rsid w:val="00D363C7"/>
    <w:rsid w:val="00D406FC"/>
    <w:rsid w:val="00D41462"/>
    <w:rsid w:val="00D41C83"/>
    <w:rsid w:val="00D42405"/>
    <w:rsid w:val="00D44193"/>
    <w:rsid w:val="00D44220"/>
    <w:rsid w:val="00D44834"/>
    <w:rsid w:val="00D46355"/>
    <w:rsid w:val="00D501E6"/>
    <w:rsid w:val="00D5266D"/>
    <w:rsid w:val="00D541B0"/>
    <w:rsid w:val="00D553F9"/>
    <w:rsid w:val="00D612AB"/>
    <w:rsid w:val="00D62F30"/>
    <w:rsid w:val="00D62FBD"/>
    <w:rsid w:val="00D6387F"/>
    <w:rsid w:val="00D63C78"/>
    <w:rsid w:val="00D642AF"/>
    <w:rsid w:val="00D67704"/>
    <w:rsid w:val="00D72BF2"/>
    <w:rsid w:val="00D72CB8"/>
    <w:rsid w:val="00D7506D"/>
    <w:rsid w:val="00D800F2"/>
    <w:rsid w:val="00D80C95"/>
    <w:rsid w:val="00D82BA3"/>
    <w:rsid w:val="00D86457"/>
    <w:rsid w:val="00D8727E"/>
    <w:rsid w:val="00D872B2"/>
    <w:rsid w:val="00D93A4E"/>
    <w:rsid w:val="00D9529F"/>
    <w:rsid w:val="00D95EE9"/>
    <w:rsid w:val="00D97A50"/>
    <w:rsid w:val="00D97C56"/>
    <w:rsid w:val="00DA0FB0"/>
    <w:rsid w:val="00DA10D5"/>
    <w:rsid w:val="00DA4F08"/>
    <w:rsid w:val="00DA5717"/>
    <w:rsid w:val="00DA6E7B"/>
    <w:rsid w:val="00DB07F6"/>
    <w:rsid w:val="00DB1EB6"/>
    <w:rsid w:val="00DB2F21"/>
    <w:rsid w:val="00DB484F"/>
    <w:rsid w:val="00DB75E5"/>
    <w:rsid w:val="00DC1E6B"/>
    <w:rsid w:val="00DC3677"/>
    <w:rsid w:val="00DC4626"/>
    <w:rsid w:val="00DC639E"/>
    <w:rsid w:val="00DD035F"/>
    <w:rsid w:val="00DD0FF5"/>
    <w:rsid w:val="00DD266D"/>
    <w:rsid w:val="00DD2CB2"/>
    <w:rsid w:val="00DD3A8E"/>
    <w:rsid w:val="00DD3FA4"/>
    <w:rsid w:val="00DE1CD8"/>
    <w:rsid w:val="00DE2C6B"/>
    <w:rsid w:val="00DE6425"/>
    <w:rsid w:val="00DF014A"/>
    <w:rsid w:val="00DF0C54"/>
    <w:rsid w:val="00DF244E"/>
    <w:rsid w:val="00DF346A"/>
    <w:rsid w:val="00DF498D"/>
    <w:rsid w:val="00DF5CCB"/>
    <w:rsid w:val="00DF6202"/>
    <w:rsid w:val="00DF6592"/>
    <w:rsid w:val="00E009E2"/>
    <w:rsid w:val="00E00AC2"/>
    <w:rsid w:val="00E0571E"/>
    <w:rsid w:val="00E072CA"/>
    <w:rsid w:val="00E07C75"/>
    <w:rsid w:val="00E1040D"/>
    <w:rsid w:val="00E107D0"/>
    <w:rsid w:val="00E10E92"/>
    <w:rsid w:val="00E1133E"/>
    <w:rsid w:val="00E13481"/>
    <w:rsid w:val="00E146A4"/>
    <w:rsid w:val="00E155C6"/>
    <w:rsid w:val="00E158E7"/>
    <w:rsid w:val="00E162D0"/>
    <w:rsid w:val="00E1689E"/>
    <w:rsid w:val="00E16A50"/>
    <w:rsid w:val="00E17BF4"/>
    <w:rsid w:val="00E21C66"/>
    <w:rsid w:val="00E225E2"/>
    <w:rsid w:val="00E2632D"/>
    <w:rsid w:val="00E26B5A"/>
    <w:rsid w:val="00E30176"/>
    <w:rsid w:val="00E30938"/>
    <w:rsid w:val="00E3127B"/>
    <w:rsid w:val="00E32042"/>
    <w:rsid w:val="00E33622"/>
    <w:rsid w:val="00E36240"/>
    <w:rsid w:val="00E37B41"/>
    <w:rsid w:val="00E42876"/>
    <w:rsid w:val="00E42CFA"/>
    <w:rsid w:val="00E4463A"/>
    <w:rsid w:val="00E46B6F"/>
    <w:rsid w:val="00E46EC3"/>
    <w:rsid w:val="00E47CD5"/>
    <w:rsid w:val="00E50EDD"/>
    <w:rsid w:val="00E528B5"/>
    <w:rsid w:val="00E52B6E"/>
    <w:rsid w:val="00E54348"/>
    <w:rsid w:val="00E5528C"/>
    <w:rsid w:val="00E55BE0"/>
    <w:rsid w:val="00E57087"/>
    <w:rsid w:val="00E62100"/>
    <w:rsid w:val="00E642AE"/>
    <w:rsid w:val="00E6573D"/>
    <w:rsid w:val="00E66E0A"/>
    <w:rsid w:val="00E71D74"/>
    <w:rsid w:val="00E760FD"/>
    <w:rsid w:val="00E76F36"/>
    <w:rsid w:val="00E8233F"/>
    <w:rsid w:val="00E83894"/>
    <w:rsid w:val="00E83BEF"/>
    <w:rsid w:val="00E8585A"/>
    <w:rsid w:val="00E86E57"/>
    <w:rsid w:val="00E87114"/>
    <w:rsid w:val="00E871EA"/>
    <w:rsid w:val="00E87CCB"/>
    <w:rsid w:val="00E915DA"/>
    <w:rsid w:val="00E92ED2"/>
    <w:rsid w:val="00E96059"/>
    <w:rsid w:val="00EA0D82"/>
    <w:rsid w:val="00EA1552"/>
    <w:rsid w:val="00EA2A1A"/>
    <w:rsid w:val="00EA392D"/>
    <w:rsid w:val="00EA6F61"/>
    <w:rsid w:val="00EB0D9E"/>
    <w:rsid w:val="00EB19F9"/>
    <w:rsid w:val="00EB6449"/>
    <w:rsid w:val="00EC067B"/>
    <w:rsid w:val="00EC0735"/>
    <w:rsid w:val="00EC0A8F"/>
    <w:rsid w:val="00EC0F2A"/>
    <w:rsid w:val="00EC1A63"/>
    <w:rsid w:val="00EC1E34"/>
    <w:rsid w:val="00EC3666"/>
    <w:rsid w:val="00EC47B8"/>
    <w:rsid w:val="00EC638C"/>
    <w:rsid w:val="00ED1454"/>
    <w:rsid w:val="00ED530E"/>
    <w:rsid w:val="00ED53D7"/>
    <w:rsid w:val="00ED5C82"/>
    <w:rsid w:val="00ED6009"/>
    <w:rsid w:val="00EE00BB"/>
    <w:rsid w:val="00EE1D25"/>
    <w:rsid w:val="00EE43CA"/>
    <w:rsid w:val="00EE7C3C"/>
    <w:rsid w:val="00EE7F96"/>
    <w:rsid w:val="00EF0D3E"/>
    <w:rsid w:val="00EF4147"/>
    <w:rsid w:val="00EF5F21"/>
    <w:rsid w:val="00F00111"/>
    <w:rsid w:val="00F01435"/>
    <w:rsid w:val="00F02769"/>
    <w:rsid w:val="00F12106"/>
    <w:rsid w:val="00F15B50"/>
    <w:rsid w:val="00F16AAC"/>
    <w:rsid w:val="00F202A5"/>
    <w:rsid w:val="00F22382"/>
    <w:rsid w:val="00F233A1"/>
    <w:rsid w:val="00F242F6"/>
    <w:rsid w:val="00F36074"/>
    <w:rsid w:val="00F407BC"/>
    <w:rsid w:val="00F40BD9"/>
    <w:rsid w:val="00F41CDA"/>
    <w:rsid w:val="00F51C28"/>
    <w:rsid w:val="00F532C3"/>
    <w:rsid w:val="00F53701"/>
    <w:rsid w:val="00F56C55"/>
    <w:rsid w:val="00F615C6"/>
    <w:rsid w:val="00F62CC9"/>
    <w:rsid w:val="00F658B0"/>
    <w:rsid w:val="00F673DD"/>
    <w:rsid w:val="00F674F0"/>
    <w:rsid w:val="00F72F96"/>
    <w:rsid w:val="00F74A66"/>
    <w:rsid w:val="00F77578"/>
    <w:rsid w:val="00F803E1"/>
    <w:rsid w:val="00F81CF0"/>
    <w:rsid w:val="00F8356C"/>
    <w:rsid w:val="00F8478E"/>
    <w:rsid w:val="00F85404"/>
    <w:rsid w:val="00F85744"/>
    <w:rsid w:val="00F86303"/>
    <w:rsid w:val="00F92E59"/>
    <w:rsid w:val="00F94AB8"/>
    <w:rsid w:val="00F9530F"/>
    <w:rsid w:val="00FA7A73"/>
    <w:rsid w:val="00FB3EC9"/>
    <w:rsid w:val="00FB6AF5"/>
    <w:rsid w:val="00FC06F7"/>
    <w:rsid w:val="00FC17D4"/>
    <w:rsid w:val="00FC1D24"/>
    <w:rsid w:val="00FC3BB3"/>
    <w:rsid w:val="00FC7040"/>
    <w:rsid w:val="00FC7959"/>
    <w:rsid w:val="00FD14F4"/>
    <w:rsid w:val="00FD585D"/>
    <w:rsid w:val="00FD797E"/>
    <w:rsid w:val="00FE0FEC"/>
    <w:rsid w:val="00FE2182"/>
    <w:rsid w:val="00FE237F"/>
    <w:rsid w:val="00FE30E6"/>
    <w:rsid w:val="00FE3EB7"/>
    <w:rsid w:val="00FE43DA"/>
    <w:rsid w:val="00FE4F4E"/>
    <w:rsid w:val="00FE5E5B"/>
    <w:rsid w:val="00FE5F8C"/>
    <w:rsid w:val="00FE60C2"/>
    <w:rsid w:val="00FE6998"/>
    <w:rsid w:val="00FF2F4E"/>
    <w:rsid w:val="00FF396A"/>
    <w:rsid w:val="00FF4204"/>
    <w:rsid w:val="00FF5C52"/>
    <w:rsid w:val="01E96FDA"/>
    <w:rsid w:val="01EC3E90"/>
    <w:rsid w:val="022A49B8"/>
    <w:rsid w:val="024017CD"/>
    <w:rsid w:val="026B1259"/>
    <w:rsid w:val="02DA1F3A"/>
    <w:rsid w:val="02E37041"/>
    <w:rsid w:val="037E3549"/>
    <w:rsid w:val="03B95FF4"/>
    <w:rsid w:val="0432773A"/>
    <w:rsid w:val="04A064FB"/>
    <w:rsid w:val="04AA5724"/>
    <w:rsid w:val="05170B2F"/>
    <w:rsid w:val="05500244"/>
    <w:rsid w:val="056019D8"/>
    <w:rsid w:val="056C7D15"/>
    <w:rsid w:val="05704DD8"/>
    <w:rsid w:val="05B178CA"/>
    <w:rsid w:val="05D435B9"/>
    <w:rsid w:val="067C7470"/>
    <w:rsid w:val="069206CA"/>
    <w:rsid w:val="07031F60"/>
    <w:rsid w:val="073D7078"/>
    <w:rsid w:val="07CF5DE6"/>
    <w:rsid w:val="08CE140B"/>
    <w:rsid w:val="08DA2C94"/>
    <w:rsid w:val="092726BE"/>
    <w:rsid w:val="099D7D2C"/>
    <w:rsid w:val="09BD1099"/>
    <w:rsid w:val="0A6C2012"/>
    <w:rsid w:val="0A9450C5"/>
    <w:rsid w:val="0AA7304A"/>
    <w:rsid w:val="0B1D50BA"/>
    <w:rsid w:val="0B381EF4"/>
    <w:rsid w:val="0B44686C"/>
    <w:rsid w:val="0C474AE5"/>
    <w:rsid w:val="0C8353F1"/>
    <w:rsid w:val="0CD35687"/>
    <w:rsid w:val="0DA11A57"/>
    <w:rsid w:val="0DC857B1"/>
    <w:rsid w:val="0E6F62CA"/>
    <w:rsid w:val="0E950205"/>
    <w:rsid w:val="0F046907"/>
    <w:rsid w:val="0F0F77C4"/>
    <w:rsid w:val="0F9D4BE8"/>
    <w:rsid w:val="0FA845A5"/>
    <w:rsid w:val="0FE268D2"/>
    <w:rsid w:val="10060813"/>
    <w:rsid w:val="103336F9"/>
    <w:rsid w:val="105E064F"/>
    <w:rsid w:val="106A73DE"/>
    <w:rsid w:val="10D206F5"/>
    <w:rsid w:val="10EF74F9"/>
    <w:rsid w:val="11BB1015"/>
    <w:rsid w:val="124B075F"/>
    <w:rsid w:val="12767963"/>
    <w:rsid w:val="12E508C9"/>
    <w:rsid w:val="13043862"/>
    <w:rsid w:val="13477178"/>
    <w:rsid w:val="14294AD0"/>
    <w:rsid w:val="142E0854"/>
    <w:rsid w:val="143A203C"/>
    <w:rsid w:val="151A266A"/>
    <w:rsid w:val="15A00DC2"/>
    <w:rsid w:val="15CA4909"/>
    <w:rsid w:val="16104199"/>
    <w:rsid w:val="16775F22"/>
    <w:rsid w:val="174A65A2"/>
    <w:rsid w:val="175400B6"/>
    <w:rsid w:val="184E71FB"/>
    <w:rsid w:val="197E141A"/>
    <w:rsid w:val="1BB46997"/>
    <w:rsid w:val="1BD6378F"/>
    <w:rsid w:val="1C161DDD"/>
    <w:rsid w:val="1D2B3667"/>
    <w:rsid w:val="1D880FF1"/>
    <w:rsid w:val="1DAC2F50"/>
    <w:rsid w:val="1DE91D86"/>
    <w:rsid w:val="1E4D585F"/>
    <w:rsid w:val="1E8C282B"/>
    <w:rsid w:val="1EDB2E6A"/>
    <w:rsid w:val="1F2F37E7"/>
    <w:rsid w:val="1FF15C98"/>
    <w:rsid w:val="20C50C6C"/>
    <w:rsid w:val="21277750"/>
    <w:rsid w:val="2203795C"/>
    <w:rsid w:val="22215F9A"/>
    <w:rsid w:val="227C78B1"/>
    <w:rsid w:val="229B3CE6"/>
    <w:rsid w:val="22C04851"/>
    <w:rsid w:val="22CB3889"/>
    <w:rsid w:val="23B87C1E"/>
    <w:rsid w:val="241A61E3"/>
    <w:rsid w:val="24927A75"/>
    <w:rsid w:val="24945F95"/>
    <w:rsid w:val="249E7157"/>
    <w:rsid w:val="24EA3E07"/>
    <w:rsid w:val="26021DDD"/>
    <w:rsid w:val="26120A79"/>
    <w:rsid w:val="26322DA3"/>
    <w:rsid w:val="26D60AE7"/>
    <w:rsid w:val="275A34C6"/>
    <w:rsid w:val="280D0539"/>
    <w:rsid w:val="28E079FB"/>
    <w:rsid w:val="28F45255"/>
    <w:rsid w:val="29581C87"/>
    <w:rsid w:val="2A0E1057"/>
    <w:rsid w:val="2A385C74"/>
    <w:rsid w:val="2A9D36CA"/>
    <w:rsid w:val="2AD54779"/>
    <w:rsid w:val="2B022259"/>
    <w:rsid w:val="2B356301"/>
    <w:rsid w:val="2B785B6A"/>
    <w:rsid w:val="2BA74558"/>
    <w:rsid w:val="2BEC2B5B"/>
    <w:rsid w:val="2C714AFC"/>
    <w:rsid w:val="2CAF6067"/>
    <w:rsid w:val="2D964B2C"/>
    <w:rsid w:val="2E6504AE"/>
    <w:rsid w:val="2EC21951"/>
    <w:rsid w:val="2EF44200"/>
    <w:rsid w:val="2F6A6270"/>
    <w:rsid w:val="302428C3"/>
    <w:rsid w:val="306A5B8E"/>
    <w:rsid w:val="3075124A"/>
    <w:rsid w:val="30B37116"/>
    <w:rsid w:val="31307046"/>
    <w:rsid w:val="31C111E4"/>
    <w:rsid w:val="31F16B10"/>
    <w:rsid w:val="32AD4FC6"/>
    <w:rsid w:val="336E20A7"/>
    <w:rsid w:val="34CA13C0"/>
    <w:rsid w:val="358D0F0B"/>
    <w:rsid w:val="35CE3F49"/>
    <w:rsid w:val="35E32E53"/>
    <w:rsid w:val="36011647"/>
    <w:rsid w:val="36070CBD"/>
    <w:rsid w:val="36B01156"/>
    <w:rsid w:val="36EA4ABB"/>
    <w:rsid w:val="36F32FEF"/>
    <w:rsid w:val="37181BAF"/>
    <w:rsid w:val="376712E7"/>
    <w:rsid w:val="37B17D16"/>
    <w:rsid w:val="37C4673A"/>
    <w:rsid w:val="387A74E3"/>
    <w:rsid w:val="38DB1F8D"/>
    <w:rsid w:val="397D1D54"/>
    <w:rsid w:val="39A92CA9"/>
    <w:rsid w:val="39CD7818"/>
    <w:rsid w:val="3A0B4EB4"/>
    <w:rsid w:val="3A175247"/>
    <w:rsid w:val="3A5E4C24"/>
    <w:rsid w:val="3A986D2C"/>
    <w:rsid w:val="3AF86E26"/>
    <w:rsid w:val="3B1A10DC"/>
    <w:rsid w:val="3B54246E"/>
    <w:rsid w:val="3C981C29"/>
    <w:rsid w:val="3CFE624A"/>
    <w:rsid w:val="3D6E1622"/>
    <w:rsid w:val="3E083F2F"/>
    <w:rsid w:val="3E127562"/>
    <w:rsid w:val="3E903392"/>
    <w:rsid w:val="3E905086"/>
    <w:rsid w:val="3ED90D1D"/>
    <w:rsid w:val="3F345F71"/>
    <w:rsid w:val="3F367222"/>
    <w:rsid w:val="3F375A43"/>
    <w:rsid w:val="3F4850E1"/>
    <w:rsid w:val="3F8806D7"/>
    <w:rsid w:val="3FB47152"/>
    <w:rsid w:val="3FF242EF"/>
    <w:rsid w:val="403F2E01"/>
    <w:rsid w:val="405B287A"/>
    <w:rsid w:val="408168C5"/>
    <w:rsid w:val="40876CB2"/>
    <w:rsid w:val="40BE1B1A"/>
    <w:rsid w:val="420460B1"/>
    <w:rsid w:val="421D7172"/>
    <w:rsid w:val="424010B3"/>
    <w:rsid w:val="429E5324"/>
    <w:rsid w:val="42E543FC"/>
    <w:rsid w:val="42ED028A"/>
    <w:rsid w:val="42F40D67"/>
    <w:rsid w:val="433D184C"/>
    <w:rsid w:val="434C6B54"/>
    <w:rsid w:val="43D84152"/>
    <w:rsid w:val="44C164DB"/>
    <w:rsid w:val="45107451"/>
    <w:rsid w:val="451F3201"/>
    <w:rsid w:val="459C0CF6"/>
    <w:rsid w:val="466D678B"/>
    <w:rsid w:val="46DB498B"/>
    <w:rsid w:val="478365CA"/>
    <w:rsid w:val="47BA00D0"/>
    <w:rsid w:val="49042E3A"/>
    <w:rsid w:val="49885819"/>
    <w:rsid w:val="49DF11B1"/>
    <w:rsid w:val="4A780EDF"/>
    <w:rsid w:val="4B052E99"/>
    <w:rsid w:val="4B47454C"/>
    <w:rsid w:val="4B4F7878"/>
    <w:rsid w:val="4BBF7BB8"/>
    <w:rsid w:val="4BEC2D58"/>
    <w:rsid w:val="4C4023DB"/>
    <w:rsid w:val="4CF63BF8"/>
    <w:rsid w:val="4D6F3EF1"/>
    <w:rsid w:val="4D93758D"/>
    <w:rsid w:val="4DC2351B"/>
    <w:rsid w:val="4DDA23BB"/>
    <w:rsid w:val="4E2A3F26"/>
    <w:rsid w:val="4E3A22C2"/>
    <w:rsid w:val="4F617DF4"/>
    <w:rsid w:val="4F7E55E5"/>
    <w:rsid w:val="4F9547EC"/>
    <w:rsid w:val="4FBB7FCB"/>
    <w:rsid w:val="50B07DE6"/>
    <w:rsid w:val="51097CDB"/>
    <w:rsid w:val="51584F05"/>
    <w:rsid w:val="51614242"/>
    <w:rsid w:val="51E669C5"/>
    <w:rsid w:val="52030390"/>
    <w:rsid w:val="52B6141E"/>
    <w:rsid w:val="52E26C7E"/>
    <w:rsid w:val="534D3630"/>
    <w:rsid w:val="53542C10"/>
    <w:rsid w:val="53593A83"/>
    <w:rsid w:val="53702556"/>
    <w:rsid w:val="537519B8"/>
    <w:rsid w:val="544D38E7"/>
    <w:rsid w:val="549C4329"/>
    <w:rsid w:val="54C33BA9"/>
    <w:rsid w:val="55284BA3"/>
    <w:rsid w:val="55D62FCD"/>
    <w:rsid w:val="562543F0"/>
    <w:rsid w:val="56372AA1"/>
    <w:rsid w:val="579828C8"/>
    <w:rsid w:val="585B09A5"/>
    <w:rsid w:val="586918DC"/>
    <w:rsid w:val="58934315"/>
    <w:rsid w:val="58C37013"/>
    <w:rsid w:val="596516D3"/>
    <w:rsid w:val="597B5BA9"/>
    <w:rsid w:val="5A0A080F"/>
    <w:rsid w:val="5AA52142"/>
    <w:rsid w:val="5AF81117"/>
    <w:rsid w:val="5B334E47"/>
    <w:rsid w:val="5BAA1A63"/>
    <w:rsid w:val="5BAD58DA"/>
    <w:rsid w:val="5C180C7F"/>
    <w:rsid w:val="5CFB048D"/>
    <w:rsid w:val="5D4A301F"/>
    <w:rsid w:val="5D577585"/>
    <w:rsid w:val="5DED7EE9"/>
    <w:rsid w:val="5E0927E7"/>
    <w:rsid w:val="5E846139"/>
    <w:rsid w:val="5E934047"/>
    <w:rsid w:val="5E9C4294"/>
    <w:rsid w:val="5EBF51BD"/>
    <w:rsid w:val="603F52A7"/>
    <w:rsid w:val="614E75D3"/>
    <w:rsid w:val="617A7CE6"/>
    <w:rsid w:val="618C792C"/>
    <w:rsid w:val="61C567BF"/>
    <w:rsid w:val="61EA6C19"/>
    <w:rsid w:val="626544F2"/>
    <w:rsid w:val="62C30962"/>
    <w:rsid w:val="630C2BBF"/>
    <w:rsid w:val="633A772C"/>
    <w:rsid w:val="63CA3DCB"/>
    <w:rsid w:val="63CC14F1"/>
    <w:rsid w:val="6490541B"/>
    <w:rsid w:val="649541A2"/>
    <w:rsid w:val="64960891"/>
    <w:rsid w:val="649D3E69"/>
    <w:rsid w:val="64E62410"/>
    <w:rsid w:val="652D4149"/>
    <w:rsid w:val="65443F11"/>
    <w:rsid w:val="656C5B97"/>
    <w:rsid w:val="66372ADD"/>
    <w:rsid w:val="669E6F3A"/>
    <w:rsid w:val="673B6E24"/>
    <w:rsid w:val="67437A3D"/>
    <w:rsid w:val="681747C2"/>
    <w:rsid w:val="69703A94"/>
    <w:rsid w:val="69946858"/>
    <w:rsid w:val="69971724"/>
    <w:rsid w:val="6A3A371A"/>
    <w:rsid w:val="6A61413C"/>
    <w:rsid w:val="6B6A19EA"/>
    <w:rsid w:val="6B8A4FC9"/>
    <w:rsid w:val="6BDC2D1B"/>
    <w:rsid w:val="6C0C1BB5"/>
    <w:rsid w:val="6C7E0C1E"/>
    <w:rsid w:val="6D524F30"/>
    <w:rsid w:val="6D814618"/>
    <w:rsid w:val="6DAC1227"/>
    <w:rsid w:val="6E3A57AF"/>
    <w:rsid w:val="6E674D4B"/>
    <w:rsid w:val="6F027058"/>
    <w:rsid w:val="6F776FE8"/>
    <w:rsid w:val="6F821E6F"/>
    <w:rsid w:val="6FA9645A"/>
    <w:rsid w:val="6FE13FAC"/>
    <w:rsid w:val="7093763C"/>
    <w:rsid w:val="70B563B7"/>
    <w:rsid w:val="70DF5679"/>
    <w:rsid w:val="719D6675"/>
    <w:rsid w:val="71BB5EDC"/>
    <w:rsid w:val="71F254E0"/>
    <w:rsid w:val="72976D15"/>
    <w:rsid w:val="72A526E9"/>
    <w:rsid w:val="72AB0B35"/>
    <w:rsid w:val="72C34010"/>
    <w:rsid w:val="73BB0416"/>
    <w:rsid w:val="73E3796C"/>
    <w:rsid w:val="7510653F"/>
    <w:rsid w:val="75363ACC"/>
    <w:rsid w:val="75885882"/>
    <w:rsid w:val="78176A92"/>
    <w:rsid w:val="787B2A9B"/>
    <w:rsid w:val="788F1E71"/>
    <w:rsid w:val="796C21B2"/>
    <w:rsid w:val="797F30B1"/>
    <w:rsid w:val="79E572EA"/>
    <w:rsid w:val="79F24465"/>
    <w:rsid w:val="7A9C0875"/>
    <w:rsid w:val="7B030D51"/>
    <w:rsid w:val="7B2F2774"/>
    <w:rsid w:val="7B6C0247"/>
    <w:rsid w:val="7BE443BC"/>
    <w:rsid w:val="7C7003A8"/>
    <w:rsid w:val="7C8021FC"/>
    <w:rsid w:val="7C94435F"/>
    <w:rsid w:val="7CAD3C30"/>
    <w:rsid w:val="7DAC0645"/>
    <w:rsid w:val="7DCC321F"/>
    <w:rsid w:val="7DEE058E"/>
    <w:rsid w:val="7DFC5959"/>
    <w:rsid w:val="7E01111B"/>
    <w:rsid w:val="7E8D0C00"/>
    <w:rsid w:val="7F100C22"/>
    <w:rsid w:val="7F222C29"/>
    <w:rsid w:val="7F4F456E"/>
    <w:rsid w:val="7FFC6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20"/>
    <w:autoRedefine/>
    <w:qFormat/>
    <w:uiPriority w:val="9"/>
    <w:pPr>
      <w:keepNext/>
      <w:keepLines/>
      <w:jc w:val="center"/>
      <w:outlineLvl w:val="0"/>
    </w:pPr>
    <w:rPr>
      <w:b/>
      <w:bCs/>
      <w:kern w:val="44"/>
      <w:sz w:val="32"/>
      <w:szCs w:val="44"/>
    </w:rPr>
  </w:style>
  <w:style w:type="paragraph" w:styleId="3">
    <w:name w:val="heading 2"/>
    <w:basedOn w:val="1"/>
    <w:next w:val="1"/>
    <w:link w:val="21"/>
    <w:autoRedefine/>
    <w:unhideWhenUsed/>
    <w:qFormat/>
    <w:uiPriority w:val="9"/>
    <w:pPr>
      <w:keepNext/>
      <w:keepLines/>
      <w:jc w:val="center"/>
      <w:outlineLvl w:val="1"/>
    </w:pPr>
    <w:rPr>
      <w:rFonts w:cstheme="majorBidi"/>
      <w:b/>
      <w:bCs/>
      <w:sz w:val="30"/>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99"/>
    <w:pPr>
      <w:spacing w:line="420" w:lineRule="exact"/>
      <w:ind w:firstLine="420"/>
    </w:pPr>
    <w:rPr>
      <w:sz w:val="24"/>
      <w:szCs w:val="28"/>
    </w:rPr>
  </w:style>
  <w:style w:type="paragraph" w:styleId="5">
    <w:name w:val="Body Text First Indent 2"/>
    <w:basedOn w:val="6"/>
    <w:next w:val="1"/>
    <w:autoRedefine/>
    <w:unhideWhenUsed/>
    <w:qFormat/>
    <w:uiPriority w:val="0"/>
    <w:rPr>
      <w:rFonts w:ascii="Calibri" w:hAnsi="Calibri"/>
      <w:sz w:val="21"/>
    </w:rPr>
  </w:style>
  <w:style w:type="paragraph" w:styleId="6">
    <w:name w:val="Body Text Indent"/>
    <w:basedOn w:val="1"/>
    <w:next w:val="1"/>
    <w:autoRedefine/>
    <w:qFormat/>
    <w:uiPriority w:val="0"/>
    <w:pPr>
      <w:spacing w:after="120"/>
      <w:ind w:left="420" w:leftChars="200"/>
    </w:pPr>
  </w:style>
  <w:style w:type="paragraph" w:styleId="7">
    <w:name w:val="toa heading"/>
    <w:basedOn w:val="1"/>
    <w:next w:val="1"/>
    <w:autoRedefine/>
    <w:unhideWhenUsed/>
    <w:qFormat/>
    <w:uiPriority w:val="99"/>
    <w:pPr>
      <w:spacing w:before="120" w:beforeLines="0" w:beforeAutospacing="0"/>
    </w:pPr>
    <w:rPr>
      <w:rFonts w:ascii="Arial" w:hAnsi="Arial"/>
      <w:sz w:val="24"/>
    </w:rPr>
  </w:style>
  <w:style w:type="paragraph" w:styleId="8">
    <w:name w:val="annotation text"/>
    <w:basedOn w:val="1"/>
    <w:autoRedefine/>
    <w:semiHidden/>
    <w:unhideWhenUsed/>
    <w:qFormat/>
    <w:uiPriority w:val="99"/>
    <w:pPr>
      <w:jc w:val="left"/>
    </w:pPr>
  </w:style>
  <w:style w:type="paragraph" w:styleId="9">
    <w:name w:val="Body Text"/>
    <w:basedOn w:val="1"/>
    <w:link w:val="32"/>
    <w:autoRedefine/>
    <w:semiHidden/>
    <w:unhideWhenUsed/>
    <w:qFormat/>
    <w:uiPriority w:val="99"/>
  </w:style>
  <w:style w:type="paragraph" w:styleId="10">
    <w:name w:val="Date"/>
    <w:basedOn w:val="1"/>
    <w:next w:val="1"/>
    <w:link w:val="33"/>
    <w:autoRedefine/>
    <w:semiHidden/>
    <w:unhideWhenUsed/>
    <w:qFormat/>
    <w:uiPriority w:val="99"/>
    <w:pPr>
      <w:ind w:left="100" w:leftChars="2500"/>
    </w:pPr>
  </w:style>
  <w:style w:type="paragraph" w:styleId="11">
    <w:name w:val="footer"/>
    <w:basedOn w:val="1"/>
    <w:link w:val="23"/>
    <w:autoRedefine/>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2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autoRedefine/>
    <w:unhideWhenUsed/>
    <w:qFormat/>
    <w:uiPriority w:val="39"/>
    <w:pPr>
      <w:tabs>
        <w:tab w:val="right" w:leader="dot" w:pos="8296"/>
      </w:tabs>
      <w:spacing w:line="300" w:lineRule="auto"/>
      <w:ind w:firstLine="0" w:firstLineChars="0"/>
    </w:pPr>
    <w:rPr>
      <w:b/>
      <w:bCs/>
      <w:sz w:val="24"/>
      <w:szCs w:val="24"/>
    </w:rPr>
  </w:style>
  <w:style w:type="paragraph" w:styleId="14">
    <w:name w:val="toc 2"/>
    <w:basedOn w:val="1"/>
    <w:next w:val="1"/>
    <w:autoRedefine/>
    <w:unhideWhenUsed/>
    <w:qFormat/>
    <w:uiPriority w:val="39"/>
    <w:pPr>
      <w:ind w:left="420" w:leftChars="200"/>
    </w:pPr>
  </w:style>
  <w:style w:type="paragraph" w:styleId="15">
    <w:name w:val="Body Text First Indent"/>
    <w:basedOn w:val="9"/>
    <w:link w:val="34"/>
    <w:autoRedefine/>
    <w:semiHidden/>
    <w:unhideWhenUsed/>
    <w:qFormat/>
    <w:uiPriority w:val="99"/>
    <w:pPr>
      <w:ind w:firstLine="560"/>
    </w:pPr>
  </w:style>
  <w:style w:type="table" w:styleId="17">
    <w:name w:val="Table Grid"/>
    <w:basedOn w:val="16"/>
    <w:autoRedefine/>
    <w:qFormat/>
    <w:uiPriority w:val="0"/>
    <w:rPr>
      <w:sz w:val="24"/>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autoRedefine/>
    <w:qFormat/>
    <w:uiPriority w:val="9"/>
    <w:rPr>
      <w:rFonts w:ascii="Times New Roman" w:hAnsi="Times New Roman" w:eastAsia="仿宋"/>
      <w:b/>
      <w:bCs/>
      <w:kern w:val="44"/>
      <w:sz w:val="32"/>
      <w:szCs w:val="44"/>
    </w:rPr>
  </w:style>
  <w:style w:type="character" w:customStyle="1" w:styleId="21">
    <w:name w:val="标题 2 字符"/>
    <w:basedOn w:val="18"/>
    <w:link w:val="3"/>
    <w:autoRedefine/>
    <w:qFormat/>
    <w:uiPriority w:val="9"/>
    <w:rPr>
      <w:rFonts w:ascii="Times New Roman" w:hAnsi="Times New Roman" w:eastAsia="仿宋" w:cstheme="majorBidi"/>
      <w:b/>
      <w:bCs/>
      <w:sz w:val="30"/>
      <w:szCs w:val="32"/>
    </w:rPr>
  </w:style>
  <w:style w:type="character" w:customStyle="1" w:styleId="22">
    <w:name w:val="页眉 字符"/>
    <w:basedOn w:val="18"/>
    <w:link w:val="12"/>
    <w:autoRedefine/>
    <w:qFormat/>
    <w:uiPriority w:val="99"/>
    <w:rPr>
      <w:rFonts w:ascii="Times New Roman" w:hAnsi="Times New Roman" w:eastAsia="仿宋"/>
      <w:sz w:val="18"/>
      <w:szCs w:val="18"/>
    </w:rPr>
  </w:style>
  <w:style w:type="character" w:customStyle="1" w:styleId="23">
    <w:name w:val="页脚 字符"/>
    <w:basedOn w:val="18"/>
    <w:link w:val="11"/>
    <w:autoRedefine/>
    <w:qFormat/>
    <w:uiPriority w:val="99"/>
    <w:rPr>
      <w:rFonts w:ascii="Times New Roman" w:hAnsi="Times New Roman" w:eastAsia="仿宋"/>
      <w:sz w:val="18"/>
      <w:szCs w:val="18"/>
    </w:rPr>
  </w:style>
  <w:style w:type="paragraph" w:customStyle="1" w:styleId="24">
    <w:name w:val="Table Paragraph"/>
    <w:basedOn w:val="1"/>
    <w:autoRedefine/>
    <w:qFormat/>
    <w:uiPriority w:val="1"/>
    <w:pPr>
      <w:autoSpaceDE w:val="0"/>
      <w:autoSpaceDN w:val="0"/>
      <w:spacing w:line="240" w:lineRule="auto"/>
      <w:ind w:firstLine="0" w:firstLineChars="0"/>
      <w:jc w:val="center"/>
    </w:pPr>
    <w:rPr>
      <w:rFonts w:ascii="宋体" w:hAnsi="宋体" w:cs="宋体"/>
      <w:kern w:val="0"/>
      <w:sz w:val="22"/>
      <w:lang w:val="zh-CN" w:bidi="zh-CN"/>
    </w:rPr>
  </w:style>
  <w:style w:type="paragraph" w:customStyle="1" w:styleId="25">
    <w:name w:val="TOC 标题1"/>
    <w:basedOn w:val="2"/>
    <w:next w:val="1"/>
    <w:autoRedefine/>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Cs w:val="32"/>
    </w:rPr>
  </w:style>
  <w:style w:type="paragraph" w:styleId="26">
    <w:name w:val="List Paragraph"/>
    <w:basedOn w:val="1"/>
    <w:autoRedefine/>
    <w:qFormat/>
    <w:uiPriority w:val="1"/>
    <w:pPr>
      <w:autoSpaceDE w:val="0"/>
      <w:autoSpaceDN w:val="0"/>
      <w:adjustRightInd w:val="0"/>
      <w:spacing w:line="240" w:lineRule="auto"/>
      <w:ind w:firstLine="0" w:firstLineChars="0"/>
      <w:jc w:val="left"/>
    </w:pPr>
    <w:rPr>
      <w:rFonts w:cs="Times New Roman" w:eastAsiaTheme="minorEastAsia"/>
      <w:kern w:val="0"/>
      <w:sz w:val="24"/>
      <w:szCs w:val="24"/>
    </w:rPr>
  </w:style>
  <w:style w:type="paragraph" w:customStyle="1" w:styleId="27">
    <w:name w:val="表文字"/>
    <w:basedOn w:val="1"/>
    <w:autoRedefine/>
    <w:qFormat/>
    <w:uiPriority w:val="0"/>
    <w:pPr>
      <w:ind w:firstLine="0" w:firstLineChars="0"/>
      <w:jc w:val="center"/>
    </w:pPr>
    <w:rPr>
      <w:rFonts w:ascii="Calibri" w:hAnsi="Calibri" w:cs="Times New Roman"/>
      <w:szCs w:val="24"/>
    </w:rPr>
  </w:style>
  <w:style w:type="character" w:customStyle="1" w:styleId="28">
    <w:name w:val="font81"/>
    <w:autoRedefine/>
    <w:qFormat/>
    <w:uiPriority w:val="0"/>
    <w:rPr>
      <w:rFonts w:hint="eastAsia" w:ascii="宋体" w:hAnsi="宋体" w:eastAsia="宋体" w:cs="宋体"/>
      <w:color w:val="000000"/>
      <w:sz w:val="24"/>
      <w:szCs w:val="24"/>
      <w:u w:val="none"/>
    </w:rPr>
  </w:style>
  <w:style w:type="character" w:customStyle="1" w:styleId="29">
    <w:name w:val="font61"/>
    <w:autoRedefine/>
    <w:qFormat/>
    <w:uiPriority w:val="0"/>
    <w:rPr>
      <w:rFonts w:hint="eastAsia" w:ascii="宋体" w:hAnsi="宋体" w:eastAsia="宋体" w:cs="宋体"/>
      <w:color w:val="000000"/>
      <w:sz w:val="16"/>
      <w:szCs w:val="16"/>
      <w:u w:val="none"/>
    </w:rPr>
  </w:style>
  <w:style w:type="character" w:customStyle="1" w:styleId="30">
    <w:name w:val="font21"/>
    <w:autoRedefine/>
    <w:qFormat/>
    <w:uiPriority w:val="0"/>
    <w:rPr>
      <w:rFonts w:hint="eastAsia" w:ascii="宋体" w:hAnsi="宋体" w:eastAsia="宋体" w:cs="宋体"/>
      <w:color w:val="000000"/>
      <w:sz w:val="21"/>
      <w:szCs w:val="21"/>
      <w:u w:val="none"/>
    </w:rPr>
  </w:style>
  <w:style w:type="paragraph" w:customStyle="1" w:styleId="31">
    <w:name w:val="样式 正文缩进正文缩进2正文缩进 Char Char正文缩进 Char Char Char Char正文缩进 Char ..."/>
    <w:basedOn w:val="4"/>
    <w:autoRedefine/>
    <w:qFormat/>
    <w:uiPriority w:val="0"/>
    <w:pPr>
      <w:spacing w:line="360" w:lineRule="auto"/>
      <w:ind w:firstLine="200"/>
    </w:pPr>
    <w:rPr>
      <w:rFonts w:cs="宋体"/>
    </w:rPr>
  </w:style>
  <w:style w:type="character" w:customStyle="1" w:styleId="32">
    <w:name w:val="正文文本 字符"/>
    <w:basedOn w:val="18"/>
    <w:link w:val="9"/>
    <w:autoRedefine/>
    <w:semiHidden/>
    <w:qFormat/>
    <w:uiPriority w:val="99"/>
    <w:rPr>
      <w:rFonts w:ascii="Times New Roman" w:hAnsi="Times New Roman" w:eastAsia="宋体"/>
      <w:kern w:val="2"/>
      <w:sz w:val="28"/>
      <w:szCs w:val="22"/>
    </w:rPr>
  </w:style>
  <w:style w:type="character" w:customStyle="1" w:styleId="33">
    <w:name w:val="日期 字符"/>
    <w:basedOn w:val="18"/>
    <w:link w:val="10"/>
    <w:autoRedefine/>
    <w:semiHidden/>
    <w:qFormat/>
    <w:uiPriority w:val="99"/>
    <w:rPr>
      <w:rFonts w:ascii="Times New Roman" w:hAnsi="Times New Roman" w:eastAsia="仿宋"/>
      <w:kern w:val="2"/>
      <w:sz w:val="28"/>
      <w:szCs w:val="22"/>
    </w:rPr>
  </w:style>
  <w:style w:type="character" w:customStyle="1" w:styleId="34">
    <w:name w:val="正文文本首行缩进 字符"/>
    <w:basedOn w:val="32"/>
    <w:link w:val="15"/>
    <w:autoRedefine/>
    <w:semiHidden/>
    <w:qFormat/>
    <w:uiPriority w:val="99"/>
    <w:rPr>
      <w:rFonts w:ascii="Times New Roman" w:hAnsi="Times New Roman" w:eastAsia="宋体"/>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emf"/><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emf"/><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4EB7BB-E345-4F92-A256-FF77B3B20E6B}">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57</Pages>
  <Words>14155</Words>
  <Characters>29590</Characters>
  <Lines>192</Lines>
  <Paragraphs>54</Paragraphs>
  <TotalTime>1</TotalTime>
  <ScaleCrop>false</ScaleCrop>
  <LinksUpToDate>false</LinksUpToDate>
  <CharactersWithSpaces>29743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2023-12-24T03:06:00Z</dcterms:created>
  <dc:creator>Admin</dc:creator>
  <cp:lastModifiedBy>苏尼</cp:lastModifiedBy>
  <cp:lastPrinted>2023-03-21T02:57:00Z</cp:lastPrinted>
  <dcterms:modified xsi:type="dcterms:W3CDTF">2024-03-28T01:05:54Z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5C552414EBF9479299F117F674D75866_13</vt:lpwstr>
  </property>
</Properties>
</file>