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0215C">
      <w:pPr>
        <w:pStyle w:val="41"/>
        <w:spacing w:line="440" w:lineRule="exact"/>
        <w:rPr>
          <w:rFonts w:ascii="方正黑体_GBK" w:hAnsi="方正黑体_GBK" w:eastAsia="方正黑体_GBK" w:cs="方正黑体_GBK"/>
          <w:sz w:val="32"/>
          <w:szCs w:val="32"/>
        </w:rPr>
      </w:pPr>
      <w:bookmarkStart w:id="0" w:name="_GoBack"/>
      <w:bookmarkEnd w:id="0"/>
      <w:r>
        <w:rPr>
          <w:rFonts w:ascii="方正黑体_GBK" w:hAnsi="方正黑体_GBK" w:eastAsia="方正黑体_GBK" w:cs="方正黑体_GBK"/>
          <w:sz w:val="32"/>
          <w:szCs w:val="32"/>
        </w:rPr>
        <w:t>附件2</w:t>
      </w:r>
    </w:p>
    <w:p w14:paraId="20DCB4A5">
      <w:pPr>
        <w:pStyle w:val="41"/>
        <w:spacing w:line="440" w:lineRule="exact"/>
        <w:rPr>
          <w:rFonts w:ascii="方正黑体_GBK" w:hAnsi="方正黑体_GBK" w:eastAsia="方正黑体_GBK" w:cs="方正黑体_GBK"/>
          <w:sz w:val="32"/>
          <w:szCs w:val="32"/>
        </w:rPr>
      </w:pPr>
    </w:p>
    <w:tbl>
      <w:tblPr>
        <w:tblStyle w:val="17"/>
        <w:tblW w:w="5000" w:type="pct"/>
        <w:tblInd w:w="0" w:type="dxa"/>
        <w:tblLayout w:type="fixed"/>
        <w:tblCellMar>
          <w:top w:w="0" w:type="dxa"/>
          <w:left w:w="108" w:type="dxa"/>
          <w:bottom w:w="0" w:type="dxa"/>
          <w:right w:w="108" w:type="dxa"/>
        </w:tblCellMar>
      </w:tblPr>
      <w:tblGrid>
        <w:gridCol w:w="447"/>
        <w:gridCol w:w="711"/>
        <w:gridCol w:w="1653"/>
        <w:gridCol w:w="988"/>
        <w:gridCol w:w="895"/>
        <w:gridCol w:w="915"/>
        <w:gridCol w:w="646"/>
        <w:gridCol w:w="1145"/>
        <w:gridCol w:w="1121"/>
      </w:tblGrid>
      <w:tr w14:paraId="112D5ABE">
        <w:tblPrEx>
          <w:tblCellMar>
            <w:top w:w="0" w:type="dxa"/>
            <w:left w:w="108" w:type="dxa"/>
            <w:bottom w:w="0" w:type="dxa"/>
            <w:right w:w="108" w:type="dxa"/>
          </w:tblCellMar>
        </w:tblPrEx>
        <w:trPr>
          <w:trHeight w:val="746" w:hRule="atLeast"/>
        </w:trPr>
        <w:tc>
          <w:tcPr>
            <w:tcW w:w="5000" w:type="pct"/>
            <w:gridSpan w:val="9"/>
            <w:tcBorders>
              <w:top w:val="nil"/>
              <w:left w:val="nil"/>
              <w:bottom w:val="nil"/>
              <w:right w:val="nil"/>
            </w:tcBorders>
            <w:noWrap/>
            <w:vAlign w:val="center"/>
          </w:tcPr>
          <w:p w14:paraId="4E0AD8D6">
            <w:pPr>
              <w:widowControl/>
              <w:jc w:val="center"/>
              <w:textAlignment w:val="center"/>
              <w:rPr>
                <w:rFonts w:hint="eastAsia" w:ascii="宋体" w:hAnsi="宋体" w:cs="宋体"/>
                <w:b/>
                <w:bCs/>
                <w:color w:val="000000"/>
                <w:sz w:val="40"/>
                <w:szCs w:val="40"/>
              </w:rPr>
            </w:pPr>
            <w:r>
              <w:rPr>
                <w:rFonts w:hint="eastAsia" w:ascii="宋体" w:hAnsi="宋体" w:cs="宋体"/>
                <w:b/>
                <w:bCs/>
                <w:color w:val="000000"/>
                <w:kern w:val="0"/>
                <w:sz w:val="40"/>
                <w:szCs w:val="40"/>
                <w:lang w:bidi="ar"/>
              </w:rPr>
              <w:t>消防安全重点单位申报备案登记表</w:t>
            </w:r>
          </w:p>
        </w:tc>
      </w:tr>
      <w:tr w14:paraId="3EA5BAFD">
        <w:tblPrEx>
          <w:tblCellMar>
            <w:top w:w="0" w:type="dxa"/>
            <w:left w:w="108" w:type="dxa"/>
            <w:bottom w:w="0" w:type="dxa"/>
            <w:right w:w="108" w:type="dxa"/>
          </w:tblCellMar>
        </w:tblPrEx>
        <w:trPr>
          <w:trHeight w:val="400" w:hRule="atLeast"/>
        </w:trPr>
        <w:tc>
          <w:tcPr>
            <w:tcW w:w="67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13FEEC10">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单位名称</w:t>
            </w:r>
          </w:p>
        </w:tc>
        <w:tc>
          <w:tcPr>
            <w:tcW w:w="2991" w:type="pct"/>
            <w:gridSpan w:val="5"/>
            <w:vMerge w:val="restart"/>
            <w:tcBorders>
              <w:top w:val="single" w:color="000000" w:sz="4" w:space="0"/>
              <w:left w:val="single" w:color="000000" w:sz="4" w:space="0"/>
              <w:bottom w:val="single" w:color="000000" w:sz="4" w:space="0"/>
              <w:right w:val="single" w:color="000000" w:sz="4" w:space="0"/>
            </w:tcBorders>
            <w:noWrap/>
            <w:vAlign w:val="center"/>
          </w:tcPr>
          <w:p w14:paraId="35B2EEC4">
            <w:pPr>
              <w:spacing w:line="400" w:lineRule="exact"/>
              <w:jc w:val="center"/>
              <w:rPr>
                <w:rFonts w:ascii="Times New Roman" w:hAnsi="Times New Roman" w:eastAsia="方正仿宋_GBK"/>
                <w:color w:val="000000"/>
                <w:szCs w:val="21"/>
              </w:rPr>
            </w:pPr>
          </w:p>
        </w:tc>
        <w:tc>
          <w:tcPr>
            <w:tcW w:w="672" w:type="pct"/>
            <w:vMerge w:val="restart"/>
            <w:tcBorders>
              <w:top w:val="single" w:color="000000" w:sz="4" w:space="0"/>
              <w:left w:val="single" w:color="000000" w:sz="4" w:space="0"/>
              <w:bottom w:val="single" w:color="000000" w:sz="4" w:space="0"/>
              <w:right w:val="single" w:color="000000" w:sz="4" w:space="0"/>
            </w:tcBorders>
            <w:noWrap/>
            <w:vAlign w:val="center"/>
          </w:tcPr>
          <w:p w14:paraId="2C7E9D96">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联系电话</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107048CE">
            <w:pPr>
              <w:spacing w:line="400" w:lineRule="exact"/>
              <w:jc w:val="center"/>
              <w:rPr>
                <w:rFonts w:ascii="Times New Roman" w:hAnsi="Times New Roman" w:eastAsia="方正仿宋_GBK"/>
                <w:color w:val="000000"/>
                <w:szCs w:val="21"/>
              </w:rPr>
            </w:pPr>
          </w:p>
        </w:tc>
      </w:tr>
      <w:tr w14:paraId="6C215F27">
        <w:tblPrEx>
          <w:tblCellMar>
            <w:top w:w="0" w:type="dxa"/>
            <w:left w:w="108" w:type="dxa"/>
            <w:bottom w:w="0" w:type="dxa"/>
            <w:right w:w="108" w:type="dxa"/>
          </w:tblCellMar>
        </w:tblPrEx>
        <w:trPr>
          <w:trHeight w:val="400" w:hRule="atLeast"/>
        </w:trPr>
        <w:tc>
          <w:tcPr>
            <w:tcW w:w="67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7033F91">
            <w:pPr>
              <w:spacing w:line="400" w:lineRule="exact"/>
              <w:jc w:val="center"/>
              <w:rPr>
                <w:rFonts w:ascii="Times New Roman" w:hAnsi="Times New Roman" w:eastAsia="方正仿宋_GBK"/>
                <w:color w:val="000000"/>
                <w:szCs w:val="21"/>
              </w:rPr>
            </w:pPr>
          </w:p>
        </w:tc>
        <w:tc>
          <w:tcPr>
            <w:tcW w:w="2991"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2AA9EB4">
            <w:pPr>
              <w:spacing w:line="400" w:lineRule="exact"/>
              <w:jc w:val="center"/>
              <w:rPr>
                <w:rFonts w:ascii="Times New Roman" w:hAnsi="Times New Roman" w:eastAsia="方正仿宋_GBK"/>
                <w:color w:val="000000"/>
                <w:szCs w:val="21"/>
              </w:rPr>
            </w:pPr>
          </w:p>
        </w:tc>
        <w:tc>
          <w:tcPr>
            <w:tcW w:w="672" w:type="pct"/>
            <w:vMerge w:val="continue"/>
            <w:tcBorders>
              <w:top w:val="single" w:color="000000" w:sz="4" w:space="0"/>
              <w:left w:val="single" w:color="000000" w:sz="4" w:space="0"/>
              <w:bottom w:val="single" w:color="000000" w:sz="4" w:space="0"/>
              <w:right w:val="single" w:color="000000" w:sz="4" w:space="0"/>
            </w:tcBorders>
            <w:noWrap/>
            <w:vAlign w:val="center"/>
          </w:tcPr>
          <w:p w14:paraId="76973122">
            <w:pPr>
              <w:spacing w:line="400" w:lineRule="exact"/>
              <w:jc w:val="center"/>
              <w:rPr>
                <w:rFonts w:ascii="Times New Roman" w:hAnsi="Times New Roman" w:eastAsia="方正仿宋_GBK"/>
                <w:color w:val="000000"/>
                <w:szCs w:val="21"/>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2144EC13">
            <w:pPr>
              <w:spacing w:line="400" w:lineRule="exact"/>
              <w:jc w:val="center"/>
              <w:rPr>
                <w:rFonts w:ascii="Times New Roman" w:hAnsi="Times New Roman" w:eastAsia="方正仿宋_GBK"/>
                <w:color w:val="000000"/>
                <w:szCs w:val="21"/>
              </w:rPr>
            </w:pPr>
          </w:p>
        </w:tc>
      </w:tr>
      <w:tr w14:paraId="3C4946C5">
        <w:tblPrEx>
          <w:tblCellMar>
            <w:top w:w="0" w:type="dxa"/>
            <w:left w:w="108" w:type="dxa"/>
            <w:bottom w:w="0" w:type="dxa"/>
            <w:right w:w="108" w:type="dxa"/>
          </w:tblCellMar>
        </w:tblPrEx>
        <w:trPr>
          <w:trHeight w:val="400" w:hRule="atLeast"/>
        </w:trPr>
        <w:tc>
          <w:tcPr>
            <w:tcW w:w="67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574C5B98">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地    址</w:t>
            </w:r>
          </w:p>
        </w:tc>
        <w:tc>
          <w:tcPr>
            <w:tcW w:w="2991" w:type="pct"/>
            <w:gridSpan w:val="5"/>
            <w:vMerge w:val="restart"/>
            <w:tcBorders>
              <w:top w:val="single" w:color="FF0000" w:sz="4" w:space="0"/>
              <w:left w:val="single" w:color="000000" w:sz="4" w:space="0"/>
              <w:bottom w:val="single" w:color="000000" w:sz="4" w:space="0"/>
              <w:right w:val="single" w:color="000000" w:sz="4" w:space="0"/>
            </w:tcBorders>
            <w:noWrap/>
            <w:vAlign w:val="center"/>
          </w:tcPr>
          <w:p w14:paraId="2762BCF2">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      市         区（县）       路（乡、镇）     号</w:t>
            </w:r>
          </w:p>
        </w:tc>
        <w:tc>
          <w:tcPr>
            <w:tcW w:w="672" w:type="pct"/>
            <w:vMerge w:val="restart"/>
            <w:tcBorders>
              <w:top w:val="single" w:color="000000" w:sz="4" w:space="0"/>
              <w:left w:val="single" w:color="000000" w:sz="4" w:space="0"/>
              <w:bottom w:val="single" w:color="000000" w:sz="4" w:space="0"/>
              <w:right w:val="single" w:color="000000" w:sz="4" w:space="0"/>
            </w:tcBorders>
            <w:noWrap/>
            <w:vAlign w:val="center"/>
          </w:tcPr>
          <w:p w14:paraId="11F76AE1">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邮    编</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5BCC00D8">
            <w:pPr>
              <w:spacing w:line="400" w:lineRule="exact"/>
              <w:jc w:val="center"/>
              <w:rPr>
                <w:rFonts w:ascii="Times New Roman" w:hAnsi="Times New Roman" w:eastAsia="方正仿宋_GBK"/>
                <w:color w:val="000000"/>
                <w:szCs w:val="21"/>
              </w:rPr>
            </w:pPr>
          </w:p>
        </w:tc>
      </w:tr>
      <w:tr w14:paraId="5C4C6AF4">
        <w:tblPrEx>
          <w:tblCellMar>
            <w:top w:w="0" w:type="dxa"/>
            <w:left w:w="108" w:type="dxa"/>
            <w:bottom w:w="0" w:type="dxa"/>
            <w:right w:w="108" w:type="dxa"/>
          </w:tblCellMar>
        </w:tblPrEx>
        <w:trPr>
          <w:trHeight w:val="400" w:hRule="atLeast"/>
        </w:trPr>
        <w:tc>
          <w:tcPr>
            <w:tcW w:w="67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22CC769">
            <w:pPr>
              <w:spacing w:line="400" w:lineRule="exact"/>
              <w:jc w:val="center"/>
              <w:rPr>
                <w:rFonts w:ascii="Times New Roman" w:hAnsi="Times New Roman" w:eastAsia="方正仿宋_GBK"/>
                <w:color w:val="000000"/>
                <w:szCs w:val="21"/>
              </w:rPr>
            </w:pPr>
          </w:p>
        </w:tc>
        <w:tc>
          <w:tcPr>
            <w:tcW w:w="2991" w:type="pct"/>
            <w:gridSpan w:val="5"/>
            <w:vMerge w:val="continue"/>
            <w:tcBorders>
              <w:top w:val="single" w:color="FF0000" w:sz="4" w:space="0"/>
              <w:left w:val="single" w:color="000000" w:sz="4" w:space="0"/>
              <w:bottom w:val="single" w:color="000000" w:sz="4" w:space="0"/>
              <w:right w:val="single" w:color="000000" w:sz="4" w:space="0"/>
            </w:tcBorders>
            <w:noWrap/>
            <w:vAlign w:val="center"/>
          </w:tcPr>
          <w:p w14:paraId="6AEAEACC">
            <w:pPr>
              <w:spacing w:line="400" w:lineRule="exact"/>
              <w:jc w:val="center"/>
              <w:rPr>
                <w:rFonts w:ascii="Times New Roman" w:hAnsi="Times New Roman" w:eastAsia="方正仿宋_GBK"/>
                <w:color w:val="000000"/>
                <w:szCs w:val="21"/>
              </w:rPr>
            </w:pPr>
          </w:p>
        </w:tc>
        <w:tc>
          <w:tcPr>
            <w:tcW w:w="672" w:type="pct"/>
            <w:vMerge w:val="continue"/>
            <w:tcBorders>
              <w:top w:val="single" w:color="000000" w:sz="4" w:space="0"/>
              <w:left w:val="single" w:color="000000" w:sz="4" w:space="0"/>
              <w:bottom w:val="single" w:color="000000" w:sz="4" w:space="0"/>
              <w:right w:val="single" w:color="000000" w:sz="4" w:space="0"/>
            </w:tcBorders>
            <w:noWrap/>
            <w:vAlign w:val="center"/>
          </w:tcPr>
          <w:p w14:paraId="513E8447">
            <w:pPr>
              <w:spacing w:line="400" w:lineRule="exact"/>
              <w:jc w:val="center"/>
              <w:rPr>
                <w:rFonts w:ascii="Times New Roman" w:hAnsi="Times New Roman" w:eastAsia="方正仿宋_GBK"/>
                <w:color w:val="000000"/>
                <w:szCs w:val="21"/>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66656E7C">
            <w:pPr>
              <w:spacing w:line="400" w:lineRule="exact"/>
              <w:jc w:val="center"/>
              <w:rPr>
                <w:rFonts w:ascii="Times New Roman" w:hAnsi="Times New Roman" w:eastAsia="方正仿宋_GBK"/>
                <w:color w:val="000000"/>
                <w:szCs w:val="21"/>
              </w:rPr>
            </w:pPr>
          </w:p>
        </w:tc>
      </w:tr>
      <w:tr w14:paraId="75089254">
        <w:tblPrEx>
          <w:tblCellMar>
            <w:top w:w="0" w:type="dxa"/>
            <w:left w:w="108" w:type="dxa"/>
            <w:bottom w:w="0" w:type="dxa"/>
            <w:right w:w="108" w:type="dxa"/>
          </w:tblCellMar>
        </w:tblPrEx>
        <w:trPr>
          <w:trHeight w:val="400" w:hRule="atLeast"/>
        </w:trPr>
        <w:tc>
          <w:tcPr>
            <w:tcW w:w="67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7AAFFFA8">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法定代表人或主要负责人</w:t>
            </w:r>
          </w:p>
        </w:tc>
        <w:tc>
          <w:tcPr>
            <w:tcW w:w="970" w:type="pct"/>
            <w:vMerge w:val="restart"/>
            <w:tcBorders>
              <w:top w:val="single" w:color="000000" w:sz="4" w:space="0"/>
              <w:left w:val="single" w:color="000000" w:sz="4" w:space="0"/>
              <w:bottom w:val="single" w:color="000000" w:sz="4" w:space="0"/>
              <w:right w:val="single" w:color="000000" w:sz="4" w:space="0"/>
            </w:tcBorders>
            <w:noWrap/>
            <w:vAlign w:val="center"/>
          </w:tcPr>
          <w:p w14:paraId="4CEFDB3F">
            <w:pPr>
              <w:spacing w:line="400" w:lineRule="exact"/>
              <w:jc w:val="center"/>
              <w:rPr>
                <w:rFonts w:ascii="Times New Roman" w:hAnsi="Times New Roman" w:eastAsia="方正仿宋_GBK"/>
                <w:color w:val="000000"/>
                <w:szCs w:val="21"/>
              </w:rPr>
            </w:pPr>
          </w:p>
        </w:tc>
        <w:tc>
          <w:tcPr>
            <w:tcW w:w="579" w:type="pct"/>
            <w:vMerge w:val="restart"/>
            <w:tcBorders>
              <w:top w:val="single" w:color="000000" w:sz="4" w:space="0"/>
              <w:left w:val="single" w:color="000000" w:sz="4" w:space="0"/>
              <w:bottom w:val="single" w:color="000000" w:sz="4" w:space="0"/>
              <w:right w:val="single" w:color="000000" w:sz="4" w:space="0"/>
            </w:tcBorders>
            <w:vAlign w:val="center"/>
          </w:tcPr>
          <w:p w14:paraId="28BAEC9C">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spacing w:val="-11"/>
                <w:kern w:val="0"/>
                <w:szCs w:val="21"/>
                <w:lang w:bidi="ar"/>
              </w:rPr>
              <w:t>消防安全责理人</w:t>
            </w:r>
          </w:p>
        </w:tc>
        <w:tc>
          <w:tcPr>
            <w:tcW w:w="525" w:type="pct"/>
            <w:vMerge w:val="restart"/>
            <w:tcBorders>
              <w:top w:val="single" w:color="000000" w:sz="4" w:space="0"/>
              <w:left w:val="single" w:color="000000" w:sz="4" w:space="0"/>
              <w:bottom w:val="single" w:color="000000" w:sz="4" w:space="0"/>
              <w:right w:val="single" w:color="000000" w:sz="4" w:space="0"/>
            </w:tcBorders>
            <w:noWrap/>
            <w:vAlign w:val="center"/>
          </w:tcPr>
          <w:p w14:paraId="2613E5A7">
            <w:pPr>
              <w:spacing w:line="400" w:lineRule="exact"/>
              <w:jc w:val="center"/>
              <w:rPr>
                <w:rFonts w:ascii="Times New Roman" w:hAnsi="Times New Roman" w:eastAsia="方正仿宋_GBK"/>
                <w:color w:val="000000"/>
                <w:szCs w:val="21"/>
              </w:rPr>
            </w:pPr>
          </w:p>
        </w:tc>
        <w:tc>
          <w:tcPr>
            <w:tcW w:w="537" w:type="pct"/>
            <w:vMerge w:val="restart"/>
            <w:tcBorders>
              <w:top w:val="single" w:color="000000" w:sz="4" w:space="0"/>
              <w:left w:val="single" w:color="000000" w:sz="4" w:space="0"/>
              <w:bottom w:val="single" w:color="000000" w:sz="4" w:space="0"/>
              <w:right w:val="single" w:color="000000" w:sz="4" w:space="0"/>
            </w:tcBorders>
            <w:vAlign w:val="center"/>
          </w:tcPr>
          <w:p w14:paraId="645E0E5C">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spacing w:val="-23"/>
                <w:kern w:val="0"/>
                <w:szCs w:val="21"/>
                <w:lang w:bidi="ar"/>
              </w:rPr>
              <w:t>消防安全管理人</w:t>
            </w:r>
          </w:p>
        </w:tc>
        <w:tc>
          <w:tcPr>
            <w:tcW w:w="377" w:type="pct"/>
            <w:vMerge w:val="restart"/>
            <w:tcBorders>
              <w:top w:val="single" w:color="000000" w:sz="4" w:space="0"/>
              <w:left w:val="single" w:color="000000" w:sz="4" w:space="0"/>
              <w:bottom w:val="single" w:color="000000" w:sz="4" w:space="0"/>
              <w:right w:val="single" w:color="000000" w:sz="4" w:space="0"/>
            </w:tcBorders>
            <w:noWrap/>
            <w:vAlign w:val="center"/>
          </w:tcPr>
          <w:p w14:paraId="0759BF55">
            <w:pPr>
              <w:spacing w:line="400" w:lineRule="exact"/>
              <w:jc w:val="center"/>
              <w:rPr>
                <w:rFonts w:ascii="Times New Roman" w:hAnsi="Times New Roman" w:eastAsia="方正仿宋_GBK"/>
                <w:color w:val="000000"/>
                <w:szCs w:val="21"/>
              </w:rPr>
            </w:pPr>
          </w:p>
        </w:tc>
        <w:tc>
          <w:tcPr>
            <w:tcW w:w="672" w:type="pct"/>
            <w:vMerge w:val="restart"/>
            <w:tcBorders>
              <w:top w:val="single" w:color="000000" w:sz="4" w:space="0"/>
              <w:left w:val="single" w:color="000000" w:sz="4" w:space="0"/>
              <w:bottom w:val="single" w:color="000000" w:sz="4" w:space="0"/>
              <w:right w:val="single" w:color="000000" w:sz="4" w:space="0"/>
            </w:tcBorders>
            <w:vAlign w:val="center"/>
          </w:tcPr>
          <w:p w14:paraId="190DE68A">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职工人数 （人）</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4551FA9F">
            <w:pPr>
              <w:spacing w:line="400" w:lineRule="exact"/>
              <w:jc w:val="center"/>
              <w:rPr>
                <w:rFonts w:ascii="Times New Roman" w:hAnsi="Times New Roman" w:eastAsia="方正仿宋_GBK"/>
                <w:color w:val="000000"/>
                <w:szCs w:val="21"/>
              </w:rPr>
            </w:pPr>
          </w:p>
        </w:tc>
      </w:tr>
      <w:tr w14:paraId="4B122B9D">
        <w:tblPrEx>
          <w:tblCellMar>
            <w:top w:w="0" w:type="dxa"/>
            <w:left w:w="108" w:type="dxa"/>
            <w:bottom w:w="0" w:type="dxa"/>
            <w:right w:w="108" w:type="dxa"/>
          </w:tblCellMar>
        </w:tblPrEx>
        <w:trPr>
          <w:trHeight w:val="400" w:hRule="atLeast"/>
        </w:trPr>
        <w:tc>
          <w:tcPr>
            <w:tcW w:w="67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4E2A849">
            <w:pPr>
              <w:spacing w:line="400" w:lineRule="exact"/>
              <w:jc w:val="center"/>
              <w:rPr>
                <w:rFonts w:ascii="Times New Roman" w:hAnsi="Times New Roman" w:eastAsia="方正仿宋_GBK"/>
                <w:color w:val="000000"/>
                <w:szCs w:val="21"/>
              </w:rPr>
            </w:pPr>
          </w:p>
        </w:tc>
        <w:tc>
          <w:tcPr>
            <w:tcW w:w="970" w:type="pct"/>
            <w:vMerge w:val="continue"/>
            <w:tcBorders>
              <w:top w:val="single" w:color="000000" w:sz="4" w:space="0"/>
              <w:left w:val="single" w:color="000000" w:sz="4" w:space="0"/>
              <w:bottom w:val="single" w:color="000000" w:sz="4" w:space="0"/>
              <w:right w:val="single" w:color="000000" w:sz="4" w:space="0"/>
            </w:tcBorders>
            <w:noWrap/>
            <w:vAlign w:val="center"/>
          </w:tcPr>
          <w:p w14:paraId="665ED774">
            <w:pPr>
              <w:spacing w:line="400" w:lineRule="exact"/>
              <w:jc w:val="center"/>
              <w:rPr>
                <w:rFonts w:ascii="Times New Roman" w:hAnsi="Times New Roman" w:eastAsia="方正仿宋_GBK"/>
                <w:color w:val="000000"/>
                <w:szCs w:val="21"/>
              </w:rPr>
            </w:pPr>
          </w:p>
        </w:tc>
        <w:tc>
          <w:tcPr>
            <w:tcW w:w="579" w:type="pct"/>
            <w:vMerge w:val="continue"/>
            <w:tcBorders>
              <w:top w:val="single" w:color="000000" w:sz="4" w:space="0"/>
              <w:left w:val="single" w:color="000000" w:sz="4" w:space="0"/>
              <w:bottom w:val="single" w:color="000000" w:sz="4" w:space="0"/>
              <w:right w:val="single" w:color="000000" w:sz="4" w:space="0"/>
            </w:tcBorders>
            <w:vAlign w:val="center"/>
          </w:tcPr>
          <w:p w14:paraId="5F7C5C4C">
            <w:pPr>
              <w:spacing w:line="400" w:lineRule="exact"/>
              <w:jc w:val="center"/>
              <w:rPr>
                <w:rFonts w:ascii="Times New Roman" w:hAnsi="Times New Roman" w:eastAsia="方正仿宋_GBK"/>
                <w:color w:val="000000"/>
                <w:szCs w:val="21"/>
              </w:rPr>
            </w:pPr>
          </w:p>
        </w:tc>
        <w:tc>
          <w:tcPr>
            <w:tcW w:w="525" w:type="pct"/>
            <w:vMerge w:val="continue"/>
            <w:tcBorders>
              <w:top w:val="single" w:color="000000" w:sz="4" w:space="0"/>
              <w:left w:val="single" w:color="000000" w:sz="4" w:space="0"/>
              <w:bottom w:val="single" w:color="000000" w:sz="4" w:space="0"/>
              <w:right w:val="single" w:color="000000" w:sz="4" w:space="0"/>
            </w:tcBorders>
            <w:noWrap/>
            <w:vAlign w:val="center"/>
          </w:tcPr>
          <w:p w14:paraId="40EDC3AC">
            <w:pPr>
              <w:spacing w:line="400" w:lineRule="exact"/>
              <w:jc w:val="center"/>
              <w:rPr>
                <w:rFonts w:ascii="Times New Roman" w:hAnsi="Times New Roman" w:eastAsia="方正仿宋_GBK"/>
                <w:color w:val="000000"/>
                <w:szCs w:val="21"/>
              </w:rPr>
            </w:pPr>
          </w:p>
        </w:tc>
        <w:tc>
          <w:tcPr>
            <w:tcW w:w="537" w:type="pct"/>
            <w:vMerge w:val="continue"/>
            <w:tcBorders>
              <w:top w:val="single" w:color="000000" w:sz="4" w:space="0"/>
              <w:left w:val="single" w:color="000000" w:sz="4" w:space="0"/>
              <w:bottom w:val="single" w:color="000000" w:sz="4" w:space="0"/>
              <w:right w:val="single" w:color="000000" w:sz="4" w:space="0"/>
            </w:tcBorders>
            <w:vAlign w:val="center"/>
          </w:tcPr>
          <w:p w14:paraId="7C78852F">
            <w:pPr>
              <w:spacing w:line="400" w:lineRule="exact"/>
              <w:jc w:val="center"/>
              <w:rPr>
                <w:rFonts w:ascii="Times New Roman" w:hAnsi="Times New Roman" w:eastAsia="方正仿宋_GBK"/>
                <w:color w:val="000000"/>
                <w:szCs w:val="21"/>
              </w:rPr>
            </w:pPr>
          </w:p>
        </w:tc>
        <w:tc>
          <w:tcPr>
            <w:tcW w:w="377" w:type="pct"/>
            <w:vMerge w:val="continue"/>
            <w:tcBorders>
              <w:top w:val="single" w:color="000000" w:sz="4" w:space="0"/>
              <w:left w:val="single" w:color="000000" w:sz="4" w:space="0"/>
              <w:bottom w:val="single" w:color="000000" w:sz="4" w:space="0"/>
              <w:right w:val="single" w:color="000000" w:sz="4" w:space="0"/>
            </w:tcBorders>
            <w:noWrap/>
            <w:vAlign w:val="center"/>
          </w:tcPr>
          <w:p w14:paraId="369A44E6">
            <w:pPr>
              <w:spacing w:line="400" w:lineRule="exact"/>
              <w:jc w:val="center"/>
              <w:rPr>
                <w:rFonts w:ascii="Times New Roman" w:hAnsi="Times New Roman" w:eastAsia="方正仿宋_GBK"/>
                <w:color w:val="000000"/>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14:paraId="575209E3">
            <w:pPr>
              <w:spacing w:line="400" w:lineRule="exact"/>
              <w:jc w:val="center"/>
              <w:rPr>
                <w:rFonts w:ascii="Times New Roman" w:hAnsi="Times New Roman" w:eastAsia="方正仿宋_GBK"/>
                <w:color w:val="000000"/>
                <w:szCs w:val="21"/>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01523D9C">
            <w:pPr>
              <w:spacing w:line="400" w:lineRule="exact"/>
              <w:jc w:val="center"/>
              <w:rPr>
                <w:rFonts w:ascii="Times New Roman" w:hAnsi="Times New Roman" w:eastAsia="方正仿宋_GBK"/>
                <w:color w:val="000000"/>
                <w:szCs w:val="21"/>
              </w:rPr>
            </w:pPr>
          </w:p>
        </w:tc>
      </w:tr>
      <w:tr w14:paraId="7517D833">
        <w:tblPrEx>
          <w:tblCellMar>
            <w:top w:w="0" w:type="dxa"/>
            <w:left w:w="108" w:type="dxa"/>
            <w:bottom w:w="0" w:type="dxa"/>
            <w:right w:w="108" w:type="dxa"/>
          </w:tblCellMar>
        </w:tblPrEx>
        <w:trPr>
          <w:trHeight w:val="400" w:hRule="atLeast"/>
        </w:trPr>
        <w:tc>
          <w:tcPr>
            <w:tcW w:w="67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13200ABE">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有无自动    消防设施</w:t>
            </w:r>
          </w:p>
        </w:tc>
        <w:tc>
          <w:tcPr>
            <w:tcW w:w="15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F48DEC2">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□有     □无</w:t>
            </w:r>
          </w:p>
        </w:tc>
        <w:tc>
          <w:tcPr>
            <w:tcW w:w="525" w:type="pct"/>
            <w:vMerge w:val="restart"/>
            <w:tcBorders>
              <w:top w:val="single" w:color="000000" w:sz="4" w:space="0"/>
              <w:left w:val="single" w:color="000000" w:sz="4" w:space="0"/>
              <w:bottom w:val="single" w:color="000000" w:sz="4" w:space="0"/>
              <w:right w:val="single" w:color="000000" w:sz="4" w:space="0"/>
            </w:tcBorders>
            <w:vAlign w:val="center"/>
          </w:tcPr>
          <w:p w14:paraId="39969A1C">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固定资产（万元）</w:t>
            </w:r>
          </w:p>
        </w:tc>
        <w:tc>
          <w:tcPr>
            <w:tcW w:w="91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1A2F1A5">
            <w:pPr>
              <w:spacing w:line="400" w:lineRule="exact"/>
              <w:jc w:val="center"/>
              <w:rPr>
                <w:rFonts w:ascii="Times New Roman" w:hAnsi="Times New Roman" w:eastAsia="方正仿宋_GBK"/>
                <w:color w:val="000000"/>
                <w:szCs w:val="21"/>
              </w:rPr>
            </w:pPr>
          </w:p>
        </w:tc>
        <w:tc>
          <w:tcPr>
            <w:tcW w:w="672" w:type="pct"/>
            <w:vMerge w:val="restart"/>
            <w:tcBorders>
              <w:top w:val="single" w:color="000000" w:sz="4" w:space="0"/>
              <w:left w:val="single" w:color="000000" w:sz="4" w:space="0"/>
              <w:bottom w:val="single" w:color="000000" w:sz="4" w:space="0"/>
              <w:right w:val="single" w:color="000000" w:sz="4" w:space="0"/>
            </w:tcBorders>
            <w:vAlign w:val="center"/>
          </w:tcPr>
          <w:p w14:paraId="431D401A">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建筑面积 （㎡）</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5430F445">
            <w:pPr>
              <w:spacing w:line="400" w:lineRule="exact"/>
              <w:jc w:val="center"/>
              <w:rPr>
                <w:rFonts w:ascii="Times New Roman" w:hAnsi="Times New Roman" w:eastAsia="方正仿宋_GBK"/>
                <w:color w:val="000000"/>
                <w:szCs w:val="21"/>
              </w:rPr>
            </w:pPr>
          </w:p>
        </w:tc>
      </w:tr>
      <w:tr w14:paraId="63167ADD">
        <w:tblPrEx>
          <w:tblCellMar>
            <w:top w:w="0" w:type="dxa"/>
            <w:left w:w="108" w:type="dxa"/>
            <w:bottom w:w="0" w:type="dxa"/>
            <w:right w:w="108" w:type="dxa"/>
          </w:tblCellMar>
        </w:tblPrEx>
        <w:trPr>
          <w:trHeight w:val="400" w:hRule="atLeast"/>
        </w:trPr>
        <w:tc>
          <w:tcPr>
            <w:tcW w:w="67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ECE1444">
            <w:pPr>
              <w:spacing w:line="400" w:lineRule="exact"/>
              <w:jc w:val="center"/>
              <w:rPr>
                <w:rFonts w:ascii="Times New Roman" w:hAnsi="Times New Roman" w:eastAsia="方正仿宋_GBK"/>
                <w:color w:val="000000"/>
                <w:szCs w:val="21"/>
              </w:rPr>
            </w:pPr>
          </w:p>
        </w:tc>
        <w:tc>
          <w:tcPr>
            <w:tcW w:w="15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2EC325F">
            <w:pPr>
              <w:spacing w:line="400" w:lineRule="exact"/>
              <w:jc w:val="center"/>
              <w:rPr>
                <w:rFonts w:ascii="Times New Roman" w:hAnsi="Times New Roman" w:eastAsia="方正仿宋_GBK"/>
                <w:color w:val="000000"/>
                <w:szCs w:val="21"/>
              </w:rPr>
            </w:pPr>
          </w:p>
        </w:tc>
        <w:tc>
          <w:tcPr>
            <w:tcW w:w="525" w:type="pct"/>
            <w:vMerge w:val="continue"/>
            <w:tcBorders>
              <w:top w:val="single" w:color="000000" w:sz="4" w:space="0"/>
              <w:left w:val="single" w:color="000000" w:sz="4" w:space="0"/>
              <w:bottom w:val="single" w:color="000000" w:sz="4" w:space="0"/>
              <w:right w:val="single" w:color="000000" w:sz="4" w:space="0"/>
            </w:tcBorders>
            <w:vAlign w:val="center"/>
          </w:tcPr>
          <w:p w14:paraId="2A552CCC">
            <w:pPr>
              <w:spacing w:line="400" w:lineRule="exact"/>
              <w:jc w:val="center"/>
              <w:rPr>
                <w:rFonts w:ascii="Times New Roman" w:hAnsi="Times New Roman" w:eastAsia="方正仿宋_GBK"/>
                <w:color w:val="000000"/>
                <w:szCs w:val="21"/>
              </w:rPr>
            </w:pPr>
          </w:p>
        </w:tc>
        <w:tc>
          <w:tcPr>
            <w:tcW w:w="91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0A45020">
            <w:pPr>
              <w:spacing w:line="400" w:lineRule="exact"/>
              <w:jc w:val="center"/>
              <w:rPr>
                <w:rFonts w:ascii="Times New Roman" w:hAnsi="Times New Roman" w:eastAsia="方正仿宋_GBK"/>
                <w:color w:val="000000"/>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14:paraId="5AA29013">
            <w:pPr>
              <w:spacing w:line="400" w:lineRule="exact"/>
              <w:jc w:val="center"/>
              <w:rPr>
                <w:rFonts w:ascii="Times New Roman" w:hAnsi="Times New Roman" w:eastAsia="方正仿宋_GBK"/>
                <w:color w:val="000000"/>
                <w:szCs w:val="21"/>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297E0870">
            <w:pPr>
              <w:spacing w:line="400" w:lineRule="exact"/>
              <w:jc w:val="center"/>
              <w:rPr>
                <w:rFonts w:ascii="Times New Roman" w:hAnsi="Times New Roman" w:eastAsia="方正仿宋_GBK"/>
                <w:color w:val="000000"/>
                <w:szCs w:val="21"/>
              </w:rPr>
            </w:pPr>
          </w:p>
        </w:tc>
      </w:tr>
      <w:tr w14:paraId="6A87E3CA">
        <w:tblPrEx>
          <w:tblCellMar>
            <w:top w:w="0" w:type="dxa"/>
            <w:left w:w="108" w:type="dxa"/>
            <w:bottom w:w="0" w:type="dxa"/>
            <w:right w:w="108" w:type="dxa"/>
          </w:tblCellMar>
        </w:tblPrEx>
        <w:trPr>
          <w:trHeight w:val="713" w:hRule="atLeast"/>
        </w:trPr>
        <w:tc>
          <w:tcPr>
            <w:tcW w:w="679" w:type="pct"/>
            <w:gridSpan w:val="2"/>
            <w:tcBorders>
              <w:top w:val="single" w:color="000000" w:sz="4" w:space="0"/>
              <w:left w:val="single" w:color="000000" w:sz="4" w:space="0"/>
              <w:bottom w:val="single" w:color="000000" w:sz="4" w:space="0"/>
              <w:right w:val="single" w:color="000000" w:sz="4" w:space="0"/>
            </w:tcBorders>
            <w:noWrap/>
            <w:vAlign w:val="center"/>
          </w:tcPr>
          <w:p w14:paraId="707469BE">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单位性质</w:t>
            </w:r>
          </w:p>
        </w:tc>
        <w:tc>
          <w:tcPr>
            <w:tcW w:w="4320" w:type="pct"/>
            <w:gridSpan w:val="7"/>
            <w:tcBorders>
              <w:top w:val="single" w:color="000000" w:sz="4" w:space="0"/>
              <w:left w:val="single" w:color="000000" w:sz="4" w:space="0"/>
              <w:bottom w:val="single" w:color="000000" w:sz="4" w:space="0"/>
              <w:right w:val="single" w:color="000000" w:sz="4" w:space="0"/>
            </w:tcBorders>
            <w:vAlign w:val="center"/>
          </w:tcPr>
          <w:p w14:paraId="3D0988B9">
            <w:pPr>
              <w:widowControl/>
              <w:spacing w:line="40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xml:space="preserve">□ 机关        □ 团体         □ 事业        □ 国有企业     □ 集体企业    </w:t>
            </w:r>
          </w:p>
          <w:p w14:paraId="31CEEDDC">
            <w:pPr>
              <w:widowControl/>
              <w:spacing w:line="40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 私营企业    </w:t>
            </w:r>
            <w:r>
              <w:rPr>
                <w:rStyle w:val="42"/>
                <w:rFonts w:hint="default" w:ascii="Times New Roman" w:hAnsi="Times New Roman" w:eastAsia="方正仿宋_GBK" w:cs="Times New Roman"/>
                <w:szCs w:val="21"/>
                <w:lang w:bidi="ar"/>
              </w:rPr>
              <w:t xml:space="preserve">□ 联营企业     □ 股份制企业  □ 外商投资企业 □ </w:t>
            </w:r>
            <w:r>
              <w:rPr>
                <w:rStyle w:val="42"/>
                <w:rFonts w:hint="default" w:ascii="Times New Roman" w:hAnsi="Times New Roman" w:eastAsia="方正仿宋_GBK" w:cs="Times New Roman"/>
                <w:spacing w:val="-28"/>
                <w:szCs w:val="21"/>
                <w:lang w:bidi="ar"/>
              </w:rPr>
              <w:t>港澳台投资企业</w:t>
            </w:r>
          </w:p>
        </w:tc>
      </w:tr>
      <w:tr w14:paraId="62312F94">
        <w:tblPrEx>
          <w:tblCellMar>
            <w:top w:w="0" w:type="dxa"/>
            <w:left w:w="108" w:type="dxa"/>
            <w:bottom w:w="0" w:type="dxa"/>
            <w:right w:w="108" w:type="dxa"/>
          </w:tblCellMar>
        </w:tblPrEx>
        <w:trPr>
          <w:trHeight w:val="380" w:hRule="atLeast"/>
        </w:trPr>
        <w:tc>
          <w:tcPr>
            <w:tcW w:w="262" w:type="pct"/>
            <w:vMerge w:val="restart"/>
            <w:tcBorders>
              <w:top w:val="single" w:color="000000" w:sz="4" w:space="0"/>
              <w:left w:val="single" w:color="000000" w:sz="4" w:space="0"/>
              <w:bottom w:val="single" w:color="000000" w:sz="4" w:space="0"/>
              <w:right w:val="single" w:color="000000" w:sz="4" w:space="0"/>
            </w:tcBorders>
            <w:vAlign w:val="center"/>
          </w:tcPr>
          <w:p w14:paraId="7A3AB889">
            <w:pPr>
              <w:widowControl/>
              <w:spacing w:line="3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申                                 报             单             位             类             别</w:t>
            </w:r>
          </w:p>
        </w:tc>
        <w:tc>
          <w:tcPr>
            <w:tcW w:w="138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39C65F26">
            <w:pPr>
              <w:widowControl/>
              <w:spacing w:line="3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主    类</w:t>
            </w:r>
          </w:p>
        </w:tc>
        <w:tc>
          <w:tcPr>
            <w:tcW w:w="3350" w:type="pct"/>
            <w:gridSpan w:val="6"/>
            <w:vMerge w:val="restart"/>
            <w:tcBorders>
              <w:top w:val="single" w:color="000000" w:sz="4" w:space="0"/>
              <w:left w:val="single" w:color="000000" w:sz="4" w:space="0"/>
              <w:bottom w:val="single" w:color="000000" w:sz="4" w:space="0"/>
              <w:right w:val="single" w:color="000000" w:sz="4" w:space="0"/>
            </w:tcBorders>
            <w:noWrap/>
            <w:vAlign w:val="center"/>
          </w:tcPr>
          <w:p w14:paraId="0A3D068E">
            <w:pPr>
              <w:widowControl/>
              <w:spacing w:line="3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分        类</w:t>
            </w:r>
          </w:p>
        </w:tc>
      </w:tr>
      <w:tr w14:paraId="7CA575DC">
        <w:tblPrEx>
          <w:tblCellMar>
            <w:top w:w="0" w:type="dxa"/>
            <w:left w:w="108" w:type="dxa"/>
            <w:bottom w:w="0" w:type="dxa"/>
            <w:right w:w="108" w:type="dxa"/>
          </w:tblCellMar>
        </w:tblPrEx>
        <w:trPr>
          <w:trHeight w:val="380"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13FB313C">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69C96ED">
            <w:pPr>
              <w:spacing w:line="380" w:lineRule="exact"/>
              <w:jc w:val="center"/>
              <w:rPr>
                <w:rFonts w:ascii="Times New Roman" w:hAnsi="Times New Roman" w:eastAsia="方正仿宋_GBK"/>
                <w:color w:val="000000"/>
                <w:szCs w:val="21"/>
              </w:rPr>
            </w:pPr>
          </w:p>
        </w:tc>
        <w:tc>
          <w:tcPr>
            <w:tcW w:w="3350" w:type="pct"/>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056CA8D">
            <w:pPr>
              <w:spacing w:line="380" w:lineRule="exact"/>
              <w:jc w:val="center"/>
              <w:rPr>
                <w:rFonts w:ascii="Times New Roman" w:hAnsi="Times New Roman" w:eastAsia="方正仿宋_GBK"/>
                <w:color w:val="000000"/>
                <w:szCs w:val="21"/>
              </w:rPr>
            </w:pPr>
          </w:p>
        </w:tc>
      </w:tr>
      <w:tr w14:paraId="160679A9">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72A775AD">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1D5A5853">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1、商场（市场），宾馆（饭店），体育场（馆）、会堂</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DFB1FFA">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1.1、建筑面积≥3000 ㎡以上的商场（百货商店、零售商店、超市、专业市场、农贸市场）</w:t>
            </w:r>
          </w:p>
        </w:tc>
      </w:tr>
      <w:tr w14:paraId="66B7EDB4">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117618F2">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AA7B980">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F846F8B">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1.2、建筑面积≥3000 ㎡的商业综合体（集零售、餐饮、文娱等多种功能）</w:t>
            </w:r>
          </w:p>
        </w:tc>
      </w:tr>
      <w:tr w14:paraId="223A953C">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926F3CC">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663B80C">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5A985D27">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1.3、建筑面积≥3000 ㎡的餐饮（农家乐）</w:t>
            </w:r>
          </w:p>
        </w:tc>
      </w:tr>
      <w:tr w14:paraId="3AB6FCA1">
        <w:tblPrEx>
          <w:tblCellMar>
            <w:top w:w="0" w:type="dxa"/>
            <w:left w:w="108" w:type="dxa"/>
            <w:bottom w:w="0" w:type="dxa"/>
            <w:right w:w="108" w:type="dxa"/>
          </w:tblCellMar>
        </w:tblPrEx>
        <w:trPr>
          <w:trHeight w:val="90"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C7BE023">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752612C">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E66D99C">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1.4、建筑面积≥500㎡的地下经营可燃商品的商场、商业综合体、餐饮。</w:t>
            </w:r>
          </w:p>
        </w:tc>
      </w:tr>
      <w:tr w14:paraId="2A91ACA9">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190686DB">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A703549">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DB8EE10">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1.5、客房数100间以上的宾馆（旅馆、饭店）或总面积大于800</w:t>
            </w:r>
            <w:r>
              <w:rPr>
                <w:rFonts w:hint="eastAsia" w:ascii="Times New Roman" w:hAnsi="Times New Roman" w:eastAsia="方正仿宋_GBK"/>
                <w:color w:val="000000"/>
                <w:kern w:val="0"/>
                <w:szCs w:val="21"/>
                <w:lang w:eastAsia="zh-CN" w:bidi="ar"/>
              </w:rPr>
              <w:t>平方米</w:t>
            </w:r>
            <w:r>
              <w:rPr>
                <w:rFonts w:ascii="Times New Roman" w:hAnsi="Times New Roman" w:eastAsia="方正仿宋_GBK"/>
                <w:color w:val="000000"/>
                <w:kern w:val="0"/>
                <w:szCs w:val="21"/>
                <w:lang w:bidi="ar"/>
              </w:rPr>
              <w:t>的毛毡蒙古包宾馆（旅游民宿）</w:t>
            </w:r>
          </w:p>
        </w:tc>
      </w:tr>
      <w:tr w14:paraId="165AD8C3">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199A8DC">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EEFD51D">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1CFA789">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1.6、设立2000个座位以上的公共体育场、体育馆、会堂、礼堂</w:t>
            </w:r>
          </w:p>
        </w:tc>
      </w:tr>
      <w:tr w14:paraId="57E72F38">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63A67D7">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79AE7A05">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r>
              <w:rPr>
                <w:rStyle w:val="43"/>
                <w:rFonts w:hint="default" w:ascii="Times New Roman" w:hAnsi="Times New Roman" w:eastAsia="方正仿宋_GBK"/>
                <w:szCs w:val="21"/>
                <w:lang w:bidi="ar"/>
              </w:rPr>
              <w:t>、</w:t>
            </w:r>
            <w:r>
              <w:rPr>
                <w:rStyle w:val="42"/>
                <w:rFonts w:hint="default" w:ascii="Times New Roman" w:hAnsi="Times New Roman" w:eastAsia="方正仿宋_GBK" w:cs="Times New Roman"/>
                <w:szCs w:val="21"/>
                <w:lang w:bidi="ar"/>
              </w:rPr>
              <w:t>公共娱乐场所</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358C06A1">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2.1、建筑面积≥2500 ㎡的营业性室内健身场所，台球、保龄球，滑冰、滑雪等室内冰雪活动场所</w:t>
            </w:r>
          </w:p>
        </w:tc>
      </w:tr>
      <w:tr w14:paraId="5B936D39">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5B0B644A">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F1348C4">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1DB77E6">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2.2、建筑面积≥500 ㎡的足浴、洗浴、棋牌、茶馆、咖啡厅等室内休闲场所</w:t>
            </w:r>
          </w:p>
        </w:tc>
      </w:tr>
      <w:tr w14:paraId="71799315">
        <w:tblPrEx>
          <w:tblCellMar>
            <w:top w:w="0" w:type="dxa"/>
            <w:left w:w="108" w:type="dxa"/>
            <w:bottom w:w="0" w:type="dxa"/>
            <w:right w:w="108" w:type="dxa"/>
          </w:tblCellMar>
        </w:tblPrEx>
        <w:trPr>
          <w:trHeight w:val="90"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1D2062A">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31435DAA">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06D0586">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2.3、建筑面积≥500 ㎡的酒吧、卡拉OK厅、夜总会、舞厅、互联网上网服务营业场所、游艺游乐场所、密室逃脱、剧本娱乐经营场所，具有娱乐功能的餐饮、茶馆、咖啡厅</w:t>
            </w:r>
          </w:p>
        </w:tc>
      </w:tr>
      <w:tr w14:paraId="55F76884">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600C8FAE">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CF0DFC0">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1FC4A4EA">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2.4、建筑面积≥500 ㎡的电影院、剧院、录像厅等演出、放映场所</w:t>
            </w:r>
          </w:p>
        </w:tc>
      </w:tr>
      <w:tr w14:paraId="4BD178E6">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0F71830C">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10BD16D7">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□3、医院、养老院、福利院</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4121E16A">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3.1、住院床位50张以上的医院</w:t>
            </w:r>
          </w:p>
        </w:tc>
      </w:tr>
      <w:tr w14:paraId="56062325">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E17DDC8">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right w:val="single" w:color="000000" w:sz="4" w:space="0"/>
            </w:tcBorders>
            <w:vAlign w:val="center"/>
          </w:tcPr>
          <w:p w14:paraId="34A40D69">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14A34120">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 3.2、老人住宿床位50张以上的养老院、福利院 </w:t>
            </w:r>
          </w:p>
        </w:tc>
      </w:tr>
      <w:tr w14:paraId="3FEECA9C">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47F16F6">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5AA0B102">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1B38B2B">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3.3、住宿床位在30张以上的月子中心等孕婴服务场所</w:t>
            </w:r>
          </w:p>
        </w:tc>
      </w:tr>
      <w:tr w14:paraId="0CBEC1C6">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6DFA248">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0C61754F">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□4、中小学校、托儿所、幼儿园，儿童活动场所</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11DE0050">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4.1、学生住宿床位100张以上的中、小学校</w:t>
            </w:r>
          </w:p>
        </w:tc>
      </w:tr>
      <w:tr w14:paraId="7BCB743A">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0D1C9210">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right w:val="single" w:color="000000" w:sz="4" w:space="0"/>
            </w:tcBorders>
            <w:vAlign w:val="center"/>
          </w:tcPr>
          <w:p w14:paraId="1C1C2E15">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0208CF0">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4.2、大型托儿所、幼儿园</w:t>
            </w:r>
          </w:p>
        </w:tc>
      </w:tr>
      <w:tr w14:paraId="052C1BBA">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736D93F">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1E3917A3">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F4C8236">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4.3、建筑面积≥500㎡的室内儿童活动场所</w:t>
            </w:r>
          </w:p>
        </w:tc>
      </w:tr>
      <w:tr w14:paraId="500F30BA">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08305457">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41202FB3">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□5、国家机关</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AD2B24F">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5.1、县级以上的党委、人大、政府、政协、纪委监委</w:t>
            </w:r>
          </w:p>
        </w:tc>
      </w:tr>
      <w:tr w14:paraId="3DF82F55">
        <w:tblPrEx>
          <w:tblCellMar>
            <w:top w:w="0" w:type="dxa"/>
            <w:left w:w="108" w:type="dxa"/>
            <w:bottom w:w="0" w:type="dxa"/>
            <w:right w:w="108" w:type="dxa"/>
          </w:tblCellMar>
        </w:tblPrEx>
        <w:trPr>
          <w:trHeight w:val="151"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71CD39F7">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935B63C">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4C9CFF3A">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5.2、人民检察院、人民法院</w:t>
            </w:r>
          </w:p>
        </w:tc>
      </w:tr>
      <w:tr w14:paraId="19FA84EF">
        <w:tblPrEx>
          <w:tblCellMar>
            <w:top w:w="0" w:type="dxa"/>
            <w:left w:w="108" w:type="dxa"/>
            <w:bottom w:w="0" w:type="dxa"/>
            <w:right w:w="108" w:type="dxa"/>
          </w:tblCellMar>
        </w:tblPrEx>
        <w:trPr>
          <w:trHeight w:val="151" w:hRule="atLeast"/>
        </w:trPr>
        <w:tc>
          <w:tcPr>
            <w:tcW w:w="262" w:type="pct"/>
            <w:vMerge w:val="continue"/>
            <w:tcBorders>
              <w:left w:val="single" w:color="000000" w:sz="4" w:space="0"/>
              <w:bottom w:val="single" w:color="000000" w:sz="4" w:space="0"/>
              <w:right w:val="single" w:color="000000" w:sz="4" w:space="0"/>
            </w:tcBorders>
            <w:vAlign w:val="center"/>
          </w:tcPr>
          <w:p w14:paraId="753CB2DB">
            <w:pPr>
              <w:widowControl/>
              <w:spacing w:line="380" w:lineRule="exact"/>
              <w:jc w:val="left"/>
              <w:textAlignment w:val="center"/>
              <w:rPr>
                <w:rFonts w:ascii="Times New Roman" w:hAnsi="Times New Roman" w:eastAsia="方正仿宋_GBK"/>
              </w:rPr>
            </w:pPr>
          </w:p>
        </w:tc>
        <w:tc>
          <w:tcPr>
            <w:tcW w:w="1386" w:type="pct"/>
            <w:gridSpan w:val="2"/>
            <w:vMerge w:val="continue"/>
            <w:tcBorders>
              <w:left w:val="single" w:color="000000" w:sz="4" w:space="0"/>
              <w:bottom w:val="single" w:color="000000" w:sz="4" w:space="0"/>
              <w:right w:val="single" w:color="000000" w:sz="4" w:space="0"/>
            </w:tcBorders>
            <w:vAlign w:val="center"/>
          </w:tcPr>
          <w:p w14:paraId="34A679BD">
            <w:pPr>
              <w:widowControl/>
              <w:spacing w:line="380" w:lineRule="exact"/>
              <w:jc w:val="left"/>
              <w:textAlignment w:val="center"/>
              <w:rPr>
                <w:rFonts w:ascii="Times New Roman" w:hAnsi="Times New Roman" w:eastAsia="方正仿宋_GBK"/>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71991D00">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5.3、监狱</w:t>
            </w:r>
          </w:p>
        </w:tc>
      </w:tr>
      <w:tr w14:paraId="505AEA86">
        <w:tblPrEx>
          <w:tblCellMar>
            <w:top w:w="0" w:type="dxa"/>
            <w:left w:w="108" w:type="dxa"/>
            <w:bottom w:w="0" w:type="dxa"/>
            <w:right w:w="108" w:type="dxa"/>
          </w:tblCellMar>
        </w:tblPrEx>
        <w:trPr>
          <w:trHeight w:val="445"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3ACA8916">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6F9D6AE">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□6、广播、电视和邮政、通信枢纽、金融机构</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39AD81D7">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6.1、县级以上广播电台、电视台</w:t>
            </w:r>
          </w:p>
        </w:tc>
      </w:tr>
      <w:tr w14:paraId="50E31D7F">
        <w:tblPrEx>
          <w:tblCellMar>
            <w:top w:w="0" w:type="dxa"/>
            <w:left w:w="108" w:type="dxa"/>
            <w:bottom w:w="0" w:type="dxa"/>
            <w:right w:w="108" w:type="dxa"/>
          </w:tblCellMar>
        </w:tblPrEx>
        <w:trPr>
          <w:trHeight w:val="516"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AE3F337">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5F66B56">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79807A5C">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6.2、城镇的邮政和通信枢纽单位，物流、快递公司盟市级分拣中心</w:t>
            </w:r>
          </w:p>
        </w:tc>
      </w:tr>
      <w:tr w14:paraId="7390448B">
        <w:tblPrEx>
          <w:tblCellMar>
            <w:top w:w="0" w:type="dxa"/>
            <w:left w:w="108" w:type="dxa"/>
            <w:bottom w:w="0" w:type="dxa"/>
            <w:right w:w="108" w:type="dxa"/>
          </w:tblCellMar>
        </w:tblPrEx>
        <w:trPr>
          <w:trHeight w:val="438" w:hRule="atLeast"/>
        </w:trPr>
        <w:tc>
          <w:tcPr>
            <w:tcW w:w="262" w:type="pct"/>
            <w:vMerge w:val="continue"/>
            <w:tcBorders>
              <w:left w:val="single" w:color="000000" w:sz="4" w:space="0"/>
              <w:bottom w:val="single" w:color="000000" w:sz="4" w:space="0"/>
              <w:right w:val="single" w:color="000000" w:sz="4" w:space="0"/>
            </w:tcBorders>
            <w:vAlign w:val="center"/>
          </w:tcPr>
          <w:p w14:paraId="33EF7791">
            <w:pPr>
              <w:widowControl/>
              <w:spacing w:line="380" w:lineRule="exact"/>
              <w:jc w:val="left"/>
              <w:textAlignment w:val="center"/>
              <w:rPr>
                <w:rFonts w:ascii="Times New Roman" w:hAnsi="Times New Roman" w:eastAsia="方正仿宋_GBK"/>
              </w:rPr>
            </w:pPr>
          </w:p>
        </w:tc>
        <w:tc>
          <w:tcPr>
            <w:tcW w:w="1386" w:type="pct"/>
            <w:gridSpan w:val="2"/>
            <w:vMerge w:val="continue"/>
            <w:tcBorders>
              <w:left w:val="single" w:color="000000" w:sz="4" w:space="0"/>
              <w:bottom w:val="single" w:color="000000" w:sz="4" w:space="0"/>
              <w:right w:val="single" w:color="000000" w:sz="4" w:space="0"/>
            </w:tcBorders>
            <w:vAlign w:val="center"/>
          </w:tcPr>
          <w:p w14:paraId="04CAB4C5">
            <w:pPr>
              <w:widowControl/>
              <w:spacing w:line="380" w:lineRule="exact"/>
              <w:jc w:val="left"/>
              <w:textAlignment w:val="center"/>
              <w:rPr>
                <w:rFonts w:ascii="Times New Roman" w:hAnsi="Times New Roman" w:eastAsia="方正仿宋_GBK"/>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F859ACB">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 6.3、地市分行级以上的银行或金融机构</w:t>
            </w:r>
          </w:p>
        </w:tc>
      </w:tr>
      <w:tr w14:paraId="36270A6D">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00A290CB">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77997ECE">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□7、客运车站、码头、民用机场</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56A2947B">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7.1、候车（船）厅建筑面积≥1000㎡的客运车站</w:t>
            </w:r>
          </w:p>
        </w:tc>
      </w:tr>
      <w:tr w14:paraId="3667E3C4">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12C7C5FA">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502BB26">
            <w:pPr>
              <w:spacing w:line="380" w:lineRule="exact"/>
              <w:jc w:val="lef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4D2648B">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7.2、民用机场</w:t>
            </w:r>
          </w:p>
        </w:tc>
      </w:tr>
      <w:tr w14:paraId="5997925C">
        <w:tblPrEx>
          <w:tblCellMar>
            <w:top w:w="0" w:type="dxa"/>
            <w:left w:w="108" w:type="dxa"/>
            <w:bottom w:w="0" w:type="dxa"/>
            <w:right w:w="108" w:type="dxa"/>
          </w:tblCellMar>
        </w:tblPrEx>
        <w:trPr>
          <w:trHeight w:val="312"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A99A3AE">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3291D03">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□8、博物馆、公共图书馆、文化馆、美术馆、展览馆、档案馆、宗教活动场所以及具有火灾危险性的文物保护单位</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5B4AA48D">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8.1、建筑面积≥2000㎡的博物馆、公共图书馆、文化馆、美术馆、展览馆、档案馆</w:t>
            </w:r>
          </w:p>
        </w:tc>
      </w:tr>
      <w:tr w14:paraId="41C8BD3F">
        <w:tblPrEx>
          <w:tblCellMar>
            <w:top w:w="0" w:type="dxa"/>
            <w:left w:w="108" w:type="dxa"/>
            <w:bottom w:w="0" w:type="dxa"/>
            <w:right w:w="108" w:type="dxa"/>
          </w:tblCellMar>
        </w:tblPrEx>
        <w:trPr>
          <w:trHeight w:val="677"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26D6BBCD">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6EF5BED">
            <w:pPr>
              <w:spacing w:line="380" w:lineRule="exact"/>
              <w:jc w:val="lef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77A64C44">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8.2、总建筑面积≥2500㎡的宗教活动场所</w:t>
            </w:r>
          </w:p>
        </w:tc>
      </w:tr>
      <w:tr w14:paraId="0DFDBC65">
        <w:tblPrEx>
          <w:tblCellMar>
            <w:top w:w="0" w:type="dxa"/>
            <w:left w:w="108" w:type="dxa"/>
            <w:bottom w:w="0" w:type="dxa"/>
            <w:right w:w="108" w:type="dxa"/>
          </w:tblCellMar>
        </w:tblPrEx>
        <w:trPr>
          <w:trHeight w:val="1066"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4D10ED22">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D6603A0">
            <w:pPr>
              <w:spacing w:line="380" w:lineRule="exact"/>
              <w:jc w:val="lef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DA5D588">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8.3、具有火灾危险性且对公众开放的自治区级以上文物保护单位</w:t>
            </w:r>
          </w:p>
        </w:tc>
      </w:tr>
      <w:tr w14:paraId="4127206E">
        <w:tblPrEx>
          <w:tblCellMar>
            <w:top w:w="0" w:type="dxa"/>
            <w:left w:w="108" w:type="dxa"/>
            <w:bottom w:w="0" w:type="dxa"/>
            <w:right w:w="108" w:type="dxa"/>
          </w:tblCellMar>
        </w:tblPrEx>
        <w:trPr>
          <w:trHeight w:val="737" w:hRule="atLeast"/>
        </w:trPr>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5A311714">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84F306F">
            <w:pPr>
              <w:spacing w:line="380" w:lineRule="exact"/>
              <w:jc w:val="lef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101E7D2">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8.4、4A级以上具有建筑火灾危险性的旅游景区</w:t>
            </w:r>
          </w:p>
        </w:tc>
      </w:tr>
      <w:tr w14:paraId="65089095">
        <w:tblPrEx>
          <w:tblCellMar>
            <w:top w:w="0" w:type="dxa"/>
            <w:left w:w="108" w:type="dxa"/>
            <w:bottom w:w="0" w:type="dxa"/>
            <w:right w:w="108" w:type="dxa"/>
          </w:tblCellMar>
        </w:tblPrEx>
        <w:trPr>
          <w:trHeight w:val="339" w:hRule="atLeast"/>
        </w:trPr>
        <w:tc>
          <w:tcPr>
            <w:tcW w:w="262" w:type="pct"/>
            <w:vMerge w:val="restart"/>
            <w:tcBorders>
              <w:top w:val="single" w:color="000000" w:sz="4" w:space="0"/>
              <w:left w:val="single" w:color="000000" w:sz="4" w:space="0"/>
              <w:right w:val="single" w:color="000000" w:sz="4" w:space="0"/>
            </w:tcBorders>
            <w:vAlign w:val="center"/>
          </w:tcPr>
          <w:p w14:paraId="1513FE32">
            <w:pPr>
              <w:widowControl/>
              <w:spacing w:line="3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申                                 报             单             位             类             别</w:t>
            </w:r>
          </w:p>
        </w:tc>
        <w:tc>
          <w:tcPr>
            <w:tcW w:w="1386" w:type="pct"/>
            <w:gridSpan w:val="2"/>
            <w:vMerge w:val="restart"/>
            <w:tcBorders>
              <w:top w:val="single" w:color="000000" w:sz="4" w:space="0"/>
              <w:left w:val="single" w:color="000000" w:sz="4" w:space="0"/>
              <w:bottom w:val="single" w:color="000000" w:sz="4" w:space="0"/>
              <w:right w:val="single" w:color="000000" w:sz="4" w:space="0"/>
            </w:tcBorders>
            <w:vAlign w:val="center"/>
          </w:tcPr>
          <w:p w14:paraId="3B0B8820">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□9</w:t>
            </w:r>
            <w:r>
              <w:rPr>
                <w:rStyle w:val="42"/>
                <w:rFonts w:hint="default" w:ascii="Times New Roman" w:hAnsi="Times New Roman" w:eastAsia="方正仿宋_GBK" w:cs="Times New Roman"/>
                <w:szCs w:val="21"/>
                <w:lang w:bidi="ar"/>
              </w:rPr>
              <w:t>、发电厂（站）、储能电站、电网经营企业动密集型生产</w:t>
            </w:r>
            <w:r>
              <w:rPr>
                <w:rStyle w:val="43"/>
                <w:rFonts w:hint="default" w:ascii="Times New Roman" w:hAnsi="Times New Roman" w:eastAsia="方正仿宋_GBK"/>
                <w:szCs w:val="21"/>
                <w:lang w:bidi="ar"/>
              </w:rPr>
              <w:t>、</w:t>
            </w:r>
            <w:r>
              <w:rPr>
                <w:rStyle w:val="42"/>
                <w:rFonts w:hint="default" w:ascii="Times New Roman" w:hAnsi="Times New Roman" w:eastAsia="方正仿宋_GBK" w:cs="Times New Roman"/>
                <w:szCs w:val="21"/>
                <w:lang w:bidi="ar"/>
              </w:rPr>
              <w:t>加工企业</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447203CC">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□9.1、单机容量300MW以上或总装机容量600MW以上的大型火力发电厂；装机容量300MW以上且水库总容量1亿立方米以上的水电枢纽</w:t>
            </w:r>
          </w:p>
        </w:tc>
      </w:tr>
      <w:tr w14:paraId="5F30193D">
        <w:tblPrEx>
          <w:tblCellMar>
            <w:top w:w="0" w:type="dxa"/>
            <w:left w:w="108" w:type="dxa"/>
            <w:bottom w:w="0" w:type="dxa"/>
            <w:right w:w="108" w:type="dxa"/>
          </w:tblCellMar>
        </w:tblPrEx>
        <w:trPr>
          <w:trHeight w:val="688" w:hRule="atLeast"/>
        </w:trPr>
        <w:tc>
          <w:tcPr>
            <w:tcW w:w="262" w:type="pct"/>
            <w:vMerge w:val="continue"/>
            <w:tcBorders>
              <w:left w:val="single" w:color="000000" w:sz="4" w:space="0"/>
              <w:right w:val="single" w:color="000000" w:sz="4" w:space="0"/>
            </w:tcBorders>
            <w:vAlign w:val="center"/>
          </w:tcPr>
          <w:p w14:paraId="149F9E6A">
            <w:pPr>
              <w:widowControl/>
              <w:spacing w:line="380" w:lineRule="exact"/>
              <w:jc w:val="center"/>
              <w:textAlignment w:val="center"/>
              <w:rPr>
                <w:rFonts w:ascii="Times New Roman" w:hAnsi="Times New Roman" w:eastAsia="方正仿宋_GBK"/>
                <w:color w:val="000000"/>
                <w:kern w:val="0"/>
                <w:szCs w:val="21"/>
                <w:lang w:bidi="ar"/>
              </w:rPr>
            </w:pPr>
          </w:p>
        </w:tc>
        <w:tc>
          <w:tcPr>
            <w:tcW w:w="1386" w:type="pct"/>
            <w:gridSpan w:val="2"/>
            <w:vMerge w:val="continue"/>
            <w:tcBorders>
              <w:left w:val="single" w:color="000000" w:sz="4" w:space="0"/>
              <w:right w:val="single" w:color="000000" w:sz="4" w:space="0"/>
            </w:tcBorders>
            <w:vAlign w:val="center"/>
          </w:tcPr>
          <w:p w14:paraId="4A8D0CC4">
            <w:pPr>
              <w:widowControl/>
              <w:spacing w:line="380" w:lineRule="exact"/>
              <w:textAlignment w:val="center"/>
              <w:rPr>
                <w:rFonts w:ascii="Times New Roman" w:hAnsi="Times New Roman" w:eastAsia="方正仿宋_GBK"/>
                <w:color w:val="000000"/>
                <w:kern w:val="0"/>
                <w:szCs w:val="21"/>
                <w:lang w:bidi="ar"/>
              </w:rPr>
            </w:pPr>
          </w:p>
        </w:tc>
        <w:tc>
          <w:tcPr>
            <w:tcW w:w="3350" w:type="pct"/>
            <w:gridSpan w:val="6"/>
            <w:tcBorders>
              <w:left w:val="single" w:color="000000" w:sz="4" w:space="0"/>
              <w:right w:val="single" w:color="000000" w:sz="4" w:space="0"/>
            </w:tcBorders>
            <w:noWrap/>
            <w:vAlign w:val="center"/>
          </w:tcPr>
          <w:p w14:paraId="202FA741">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□9.2、功率为30MW且容量为30MW·h及以上的大型电化学储能电站</w:t>
            </w:r>
          </w:p>
        </w:tc>
      </w:tr>
      <w:tr w14:paraId="6C688673">
        <w:tblPrEx>
          <w:tblCellMar>
            <w:top w:w="0" w:type="dxa"/>
            <w:left w:w="108" w:type="dxa"/>
            <w:bottom w:w="0" w:type="dxa"/>
            <w:right w:w="108" w:type="dxa"/>
          </w:tblCellMar>
        </w:tblPrEx>
        <w:trPr>
          <w:trHeight w:val="724" w:hRule="atLeast"/>
        </w:trPr>
        <w:tc>
          <w:tcPr>
            <w:tcW w:w="262" w:type="pct"/>
            <w:vMerge w:val="continue"/>
            <w:tcBorders>
              <w:left w:val="single" w:color="000000" w:sz="4" w:space="0"/>
              <w:right w:val="single" w:color="000000" w:sz="4" w:space="0"/>
            </w:tcBorders>
            <w:vAlign w:val="center"/>
          </w:tcPr>
          <w:p w14:paraId="534534F1">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10CDE17">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auto" w:sz="4" w:space="0"/>
              <w:right w:val="single" w:color="000000" w:sz="4" w:space="0"/>
            </w:tcBorders>
            <w:noWrap/>
            <w:vAlign w:val="center"/>
          </w:tcPr>
          <w:p w14:paraId="05B0D859">
            <w:pPr>
              <w:spacing w:line="380" w:lineRule="exact"/>
              <w:jc w:val="left"/>
              <w:rPr>
                <w:rFonts w:ascii="Times New Roman" w:hAnsi="Times New Roman" w:eastAsia="方正仿宋_GBK"/>
                <w:color w:val="000000"/>
                <w:szCs w:val="21"/>
              </w:rPr>
            </w:pPr>
            <w:r>
              <w:rPr>
                <w:rFonts w:ascii="Times New Roman" w:hAnsi="Times New Roman" w:eastAsia="方正仿宋_GBK"/>
                <w:color w:val="000000"/>
                <w:kern w:val="0"/>
                <w:szCs w:val="21"/>
                <w:lang w:bidi="ar"/>
              </w:rPr>
              <w:t>□9.3、容量在300MW及以上风力发电场和光伏发电站、抽水蓄能电站</w:t>
            </w:r>
          </w:p>
        </w:tc>
      </w:tr>
      <w:tr w14:paraId="5234C613">
        <w:tblPrEx>
          <w:tblCellMar>
            <w:top w:w="0" w:type="dxa"/>
            <w:left w:w="108" w:type="dxa"/>
            <w:bottom w:w="0" w:type="dxa"/>
            <w:right w:w="108" w:type="dxa"/>
          </w:tblCellMar>
        </w:tblPrEx>
        <w:trPr>
          <w:trHeight w:val="392" w:hRule="atLeast"/>
        </w:trPr>
        <w:tc>
          <w:tcPr>
            <w:tcW w:w="262" w:type="pct"/>
            <w:vMerge w:val="continue"/>
            <w:tcBorders>
              <w:left w:val="single" w:color="000000" w:sz="4" w:space="0"/>
              <w:right w:val="single" w:color="000000" w:sz="4" w:space="0"/>
            </w:tcBorders>
            <w:vAlign w:val="center"/>
          </w:tcPr>
          <w:p w14:paraId="00FAEBDB">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3536F0A0">
            <w:pPr>
              <w:spacing w:line="380" w:lineRule="exact"/>
              <w:rPr>
                <w:rFonts w:ascii="Times New Roman" w:hAnsi="Times New Roman" w:eastAsia="方正仿宋_GBK"/>
                <w:color w:val="000000"/>
                <w:szCs w:val="21"/>
              </w:rPr>
            </w:pPr>
          </w:p>
        </w:tc>
        <w:tc>
          <w:tcPr>
            <w:tcW w:w="3350" w:type="pct"/>
            <w:gridSpan w:val="6"/>
            <w:tcBorders>
              <w:top w:val="single" w:color="auto" w:sz="4" w:space="0"/>
              <w:left w:val="single" w:color="000000" w:sz="4" w:space="0"/>
              <w:bottom w:val="single" w:color="000000" w:sz="4" w:space="0"/>
              <w:right w:val="single" w:color="000000" w:sz="4" w:space="0"/>
            </w:tcBorders>
            <w:noWrap/>
            <w:vAlign w:val="center"/>
          </w:tcPr>
          <w:p w14:paraId="17B9E938">
            <w:pPr>
              <w:spacing w:line="380" w:lineRule="exact"/>
              <w:jc w:val="left"/>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□9.4、特高压变电站（换流站）、500kV变电站、区域调度中心</w:t>
            </w:r>
          </w:p>
        </w:tc>
      </w:tr>
      <w:tr w14:paraId="240FA559">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4D9F95FD">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E49ED36">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□10、生产、储存、使用易燃易爆危险物品的工厂、仓库，易燃易爆气体和液体的充装站、供应站、调压站</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751E3CCE">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□10.1、总建筑面积≥2000㎡的甲类厂房，或者总建筑面积3000平方米以上的乙类厂房</w:t>
            </w:r>
          </w:p>
        </w:tc>
      </w:tr>
      <w:tr w14:paraId="766EB539">
        <w:tblPrEx>
          <w:tblCellMar>
            <w:top w:w="0" w:type="dxa"/>
            <w:left w:w="108" w:type="dxa"/>
            <w:bottom w:w="0" w:type="dxa"/>
            <w:right w:w="108" w:type="dxa"/>
          </w:tblCellMar>
        </w:tblPrEx>
        <w:trPr>
          <w:trHeight w:val="605" w:hRule="atLeast"/>
        </w:trPr>
        <w:tc>
          <w:tcPr>
            <w:tcW w:w="262" w:type="pct"/>
            <w:vMerge w:val="continue"/>
            <w:tcBorders>
              <w:left w:val="single" w:color="000000" w:sz="4" w:space="0"/>
              <w:right w:val="single" w:color="000000" w:sz="4" w:space="0"/>
            </w:tcBorders>
            <w:vAlign w:val="center"/>
          </w:tcPr>
          <w:p w14:paraId="0746FA36">
            <w:pPr>
              <w:spacing w:line="380" w:lineRule="exact"/>
              <w:jc w:val="center"/>
              <w:rPr>
                <w:rFonts w:ascii="Times New Roman" w:hAnsi="Times New Roman" w:eastAsia="方正仿宋_GBK"/>
                <w:color w:val="000000"/>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8F9A9E8">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CF7FD47">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10.2、储存易燃易爆危险物品的仓库（堆场、储罐场所）</w:t>
            </w:r>
          </w:p>
          <w:p w14:paraId="40BC5805">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□（1）单座容积5000立方米以上或者总容积10000立方米以上的甲乙类储罐；</w:t>
            </w:r>
          </w:p>
          <w:p w14:paraId="14899FBF">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□（2）单座容积500立方米以上或者总容积2000立方米以上的液化烃（含液化石油气）储罐；</w:t>
            </w:r>
          </w:p>
          <w:p w14:paraId="7EC21363">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□（3）总建筑面积750平方米以上的甲类仓库，或者总建筑面积2000平方米以上的乙类仓库。</w:t>
            </w:r>
          </w:p>
        </w:tc>
      </w:tr>
      <w:tr w14:paraId="54B298C8">
        <w:tblPrEx>
          <w:tblCellMar>
            <w:top w:w="0" w:type="dxa"/>
            <w:left w:w="108" w:type="dxa"/>
            <w:bottom w:w="0" w:type="dxa"/>
            <w:right w:w="108" w:type="dxa"/>
          </w:tblCellMar>
        </w:tblPrEx>
        <w:trPr>
          <w:trHeight w:val="605" w:hRule="atLeast"/>
        </w:trPr>
        <w:tc>
          <w:tcPr>
            <w:tcW w:w="262" w:type="pct"/>
            <w:vMerge w:val="continue"/>
            <w:tcBorders>
              <w:left w:val="single" w:color="000000" w:sz="4" w:space="0"/>
              <w:right w:val="single" w:color="000000" w:sz="4" w:space="0"/>
            </w:tcBorders>
            <w:vAlign w:val="center"/>
          </w:tcPr>
          <w:p w14:paraId="102B3A14">
            <w:pPr>
              <w:widowControl/>
              <w:spacing w:line="380" w:lineRule="exact"/>
              <w:ind w:firstLine="1050" w:firstLineChars="500"/>
              <w:jc w:val="left"/>
              <w:textAlignment w:val="center"/>
              <w:rPr>
                <w:rFonts w:ascii="Times New Roman" w:hAnsi="Times New Roman" w:eastAsia="方正仿宋_GBK"/>
                <w:szCs w:val="21"/>
              </w:rPr>
            </w:pPr>
          </w:p>
        </w:tc>
        <w:tc>
          <w:tcPr>
            <w:tcW w:w="13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55FDA2B">
            <w:pPr>
              <w:widowControl/>
              <w:spacing w:line="380" w:lineRule="exact"/>
              <w:ind w:firstLine="1050" w:firstLineChars="500"/>
              <w:textAlignment w:val="center"/>
              <w:rPr>
                <w:rFonts w:ascii="Times New Roman" w:hAnsi="Times New Roman" w:eastAsia="方正仿宋_GBK"/>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94199B6">
            <w:pPr>
              <w:widowControl/>
              <w:spacing w:line="380" w:lineRule="exact"/>
              <w:jc w:val="left"/>
              <w:textAlignment w:val="center"/>
              <w:rPr>
                <w:rFonts w:ascii="Times New Roman" w:hAnsi="Times New Roman" w:eastAsia="方正仿宋_GBK"/>
                <w:szCs w:val="21"/>
              </w:rPr>
            </w:pPr>
            <w:r>
              <w:rPr>
                <w:rFonts w:ascii="Times New Roman" w:hAnsi="Times New Roman" w:eastAsia="方正仿宋_GBK"/>
                <w:color w:val="000000"/>
                <w:kern w:val="0"/>
                <w:szCs w:val="21"/>
                <w:lang w:bidi="ar"/>
              </w:rPr>
              <w:t>□10.3、总容量500立方米以上的易燃易爆气体和液体的充装站、供应站、调压站</w:t>
            </w:r>
          </w:p>
        </w:tc>
      </w:tr>
      <w:tr w14:paraId="01EC4AFB">
        <w:tblPrEx>
          <w:tblCellMar>
            <w:top w:w="0" w:type="dxa"/>
            <w:left w:w="108" w:type="dxa"/>
            <w:bottom w:w="0" w:type="dxa"/>
            <w:right w:w="108" w:type="dxa"/>
          </w:tblCellMar>
        </w:tblPrEx>
        <w:trPr>
          <w:trHeight w:val="605" w:hRule="atLeast"/>
        </w:trPr>
        <w:tc>
          <w:tcPr>
            <w:tcW w:w="262" w:type="pct"/>
            <w:vMerge w:val="continue"/>
            <w:tcBorders>
              <w:left w:val="single" w:color="000000" w:sz="4" w:space="0"/>
              <w:right w:val="single" w:color="000000" w:sz="4" w:space="0"/>
            </w:tcBorders>
            <w:vAlign w:val="center"/>
          </w:tcPr>
          <w:p w14:paraId="629C1D4D">
            <w:pPr>
              <w:widowControl/>
              <w:spacing w:line="380" w:lineRule="exact"/>
              <w:ind w:firstLine="1050" w:firstLineChars="500"/>
              <w:jc w:val="left"/>
              <w:textAlignment w:val="center"/>
              <w:rPr>
                <w:rFonts w:ascii="Times New Roman" w:hAnsi="Times New Roman" w:eastAsia="方正仿宋_GBK"/>
                <w:szCs w:val="21"/>
              </w:rPr>
            </w:pPr>
          </w:p>
        </w:tc>
        <w:tc>
          <w:tcPr>
            <w:tcW w:w="1386" w:type="pct"/>
            <w:gridSpan w:val="2"/>
            <w:vMerge w:val="continue"/>
            <w:tcBorders>
              <w:left w:val="single" w:color="000000" w:sz="4" w:space="0"/>
              <w:bottom w:val="single" w:color="000000" w:sz="4" w:space="0"/>
              <w:right w:val="single" w:color="000000" w:sz="4" w:space="0"/>
            </w:tcBorders>
            <w:noWrap/>
            <w:vAlign w:val="center"/>
          </w:tcPr>
          <w:p w14:paraId="1A1CFB5A">
            <w:pPr>
              <w:widowControl/>
              <w:spacing w:line="380" w:lineRule="exact"/>
              <w:ind w:firstLine="1050" w:firstLineChars="500"/>
              <w:textAlignment w:val="center"/>
              <w:rPr>
                <w:rFonts w:ascii="Times New Roman" w:hAnsi="Times New Roman" w:eastAsia="方正仿宋_GBK"/>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4E36025">
            <w:pPr>
              <w:widowControl/>
              <w:spacing w:line="380" w:lineRule="exact"/>
              <w:jc w:val="left"/>
              <w:textAlignment w:val="center"/>
              <w:rPr>
                <w:rFonts w:ascii="Times New Roman" w:hAnsi="Times New Roman" w:eastAsia="方正仿宋_GBK"/>
                <w:szCs w:val="21"/>
              </w:rPr>
            </w:pPr>
            <w:r>
              <w:rPr>
                <w:rFonts w:ascii="Times New Roman" w:hAnsi="Times New Roman" w:eastAsia="方正仿宋_GBK"/>
                <w:color w:val="000000"/>
                <w:kern w:val="0"/>
                <w:szCs w:val="21"/>
                <w:lang w:bidi="ar"/>
              </w:rPr>
              <w:t>□10.4、一级汽车加油站、加气站、加氢站及合建站，城市建成区范围内二级汽车加油站、加气站、加氢站及合建站</w:t>
            </w:r>
          </w:p>
        </w:tc>
      </w:tr>
      <w:tr w14:paraId="4A4B3ED2">
        <w:tblPrEx>
          <w:tblCellMar>
            <w:top w:w="0" w:type="dxa"/>
            <w:left w:w="108" w:type="dxa"/>
            <w:bottom w:w="0" w:type="dxa"/>
            <w:right w:w="108" w:type="dxa"/>
          </w:tblCellMar>
        </w:tblPrEx>
        <w:trPr>
          <w:trHeight w:val="1123" w:hRule="atLeast"/>
        </w:trPr>
        <w:tc>
          <w:tcPr>
            <w:tcW w:w="262" w:type="pct"/>
            <w:vMerge w:val="continue"/>
            <w:tcBorders>
              <w:left w:val="single" w:color="000000" w:sz="4" w:space="0"/>
              <w:right w:val="single" w:color="000000" w:sz="4" w:space="0"/>
            </w:tcBorders>
            <w:vAlign w:val="center"/>
          </w:tcPr>
          <w:p w14:paraId="610522FF">
            <w:pPr>
              <w:spacing w:line="380" w:lineRule="exact"/>
              <w:jc w:val="center"/>
              <w:rPr>
                <w:rFonts w:ascii="Times New Roman" w:hAnsi="Times New Roman" w:eastAsia="方正仿宋_GBK"/>
                <w:color w:val="000000"/>
                <w:szCs w:val="21"/>
              </w:rPr>
            </w:pPr>
          </w:p>
        </w:tc>
        <w:tc>
          <w:tcPr>
            <w:tcW w:w="1386" w:type="pct"/>
            <w:gridSpan w:val="2"/>
            <w:tcBorders>
              <w:top w:val="single" w:color="000000" w:sz="4" w:space="0"/>
              <w:left w:val="single" w:color="000000" w:sz="4" w:space="0"/>
              <w:bottom w:val="single" w:color="000000" w:sz="4" w:space="0"/>
              <w:right w:val="single" w:color="000000" w:sz="4" w:space="0"/>
            </w:tcBorders>
            <w:vAlign w:val="center"/>
          </w:tcPr>
          <w:p w14:paraId="1D1C8A1A">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□11、劳动密集型生产、加工企业</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AEABC6B">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占地面积1500平方米以上或总建筑面积3000平方米以上且同一工作时间段生产人数超过100人的制鞋、制笔、制衣、玩具、打火机、眼镜、印刷、电子、家具、食品加工、木材加工或生产性质及火灾危险性与之相类似的企业</w:t>
            </w:r>
          </w:p>
        </w:tc>
      </w:tr>
      <w:tr w14:paraId="60EE2C06">
        <w:tblPrEx>
          <w:tblCellMar>
            <w:top w:w="0" w:type="dxa"/>
            <w:left w:w="108" w:type="dxa"/>
            <w:bottom w:w="0" w:type="dxa"/>
            <w:right w:w="108" w:type="dxa"/>
          </w:tblCellMar>
        </w:tblPrEx>
        <w:trPr>
          <w:trHeight w:val="404" w:hRule="atLeast"/>
        </w:trPr>
        <w:tc>
          <w:tcPr>
            <w:tcW w:w="262" w:type="pct"/>
            <w:vMerge w:val="continue"/>
            <w:tcBorders>
              <w:left w:val="single" w:color="000000" w:sz="4" w:space="0"/>
              <w:right w:val="single" w:color="000000" w:sz="4" w:space="0"/>
            </w:tcBorders>
            <w:vAlign w:val="center"/>
          </w:tcPr>
          <w:p w14:paraId="43B5D222">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314B4602">
            <w:pPr>
              <w:widowControl/>
              <w:spacing w:line="38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□12、重要的科研单位、高等院校</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FC98488">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□12.1、国家级科研单位，设有国家重点实验室的科研单位</w:t>
            </w:r>
          </w:p>
        </w:tc>
      </w:tr>
      <w:tr w14:paraId="6A270D43">
        <w:tblPrEx>
          <w:tblCellMar>
            <w:top w:w="0" w:type="dxa"/>
            <w:left w:w="108" w:type="dxa"/>
            <w:bottom w:w="0" w:type="dxa"/>
            <w:right w:w="108" w:type="dxa"/>
          </w:tblCellMar>
        </w:tblPrEx>
        <w:trPr>
          <w:trHeight w:val="353" w:hRule="atLeast"/>
        </w:trPr>
        <w:tc>
          <w:tcPr>
            <w:tcW w:w="262" w:type="pct"/>
            <w:vMerge w:val="continue"/>
            <w:tcBorders>
              <w:left w:val="single" w:color="000000" w:sz="4" w:space="0"/>
              <w:right w:val="single" w:color="000000" w:sz="4" w:space="0"/>
            </w:tcBorders>
            <w:vAlign w:val="center"/>
          </w:tcPr>
          <w:p w14:paraId="2C1BBB1F">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right w:val="single" w:color="000000" w:sz="4" w:space="0"/>
            </w:tcBorders>
            <w:vAlign w:val="center"/>
          </w:tcPr>
          <w:p w14:paraId="3EE65F0A">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6D8E71D">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□12.2、设有自治区级重点实验室的科研单位</w:t>
            </w:r>
          </w:p>
        </w:tc>
      </w:tr>
      <w:tr w14:paraId="5205C97B">
        <w:tblPrEx>
          <w:tblCellMar>
            <w:top w:w="0" w:type="dxa"/>
            <w:left w:w="108" w:type="dxa"/>
            <w:bottom w:w="0" w:type="dxa"/>
            <w:right w:w="108" w:type="dxa"/>
          </w:tblCellMar>
        </w:tblPrEx>
        <w:trPr>
          <w:trHeight w:val="252" w:hRule="atLeast"/>
        </w:trPr>
        <w:tc>
          <w:tcPr>
            <w:tcW w:w="262" w:type="pct"/>
            <w:vMerge w:val="continue"/>
            <w:tcBorders>
              <w:left w:val="single" w:color="000000" w:sz="4" w:space="0"/>
              <w:right w:val="single" w:color="000000" w:sz="4" w:space="0"/>
            </w:tcBorders>
            <w:vAlign w:val="center"/>
          </w:tcPr>
          <w:p w14:paraId="7734B959">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3CB78EC2">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8EC7307">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□12.3、高等院校（包括普通高等学校、职业高等学校、成人高等学校）</w:t>
            </w:r>
          </w:p>
        </w:tc>
      </w:tr>
      <w:tr w14:paraId="2294C515">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430F49C7">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3C8E25D1">
            <w:pPr>
              <w:spacing w:line="380" w:lineRule="exact"/>
              <w:rPr>
                <w:rFonts w:ascii="Times New Roman" w:hAnsi="Times New Roman" w:eastAsia="方正仿宋_GBK"/>
                <w:color w:val="000000"/>
                <w:szCs w:val="21"/>
              </w:rPr>
            </w:pPr>
            <w:r>
              <w:rPr>
                <w:rFonts w:ascii="Times New Roman" w:hAnsi="Times New Roman" w:eastAsia="方正仿宋_GBK"/>
                <w:color w:val="000000"/>
                <w:kern w:val="0"/>
                <w:szCs w:val="21"/>
                <w:lang w:bidi="ar"/>
              </w:rPr>
              <w:t>□13、公共建筑</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344DAA8D">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□13.1、50米以上的写字楼、办公楼、综合楼、公寓楼等公共建筑</w:t>
            </w:r>
          </w:p>
        </w:tc>
      </w:tr>
      <w:tr w14:paraId="230E1D3F">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405972A6">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429010BD">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BDEF29C">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□13.2、单体建筑面积40000平方米以上的公共建筑</w:t>
            </w:r>
          </w:p>
        </w:tc>
      </w:tr>
      <w:tr w14:paraId="067F37DC">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6F84B3CE">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50F2CF56">
            <w:pPr>
              <w:spacing w:line="380" w:lineRule="exact"/>
              <w:rPr>
                <w:rFonts w:ascii="Times New Roman" w:hAnsi="Times New Roman" w:eastAsia="方正仿宋_GBK"/>
                <w:color w:val="000000"/>
                <w:szCs w:val="21"/>
              </w:rPr>
            </w:pPr>
            <w:r>
              <w:rPr>
                <w:rFonts w:ascii="Times New Roman" w:hAnsi="Times New Roman" w:eastAsia="方正仿宋_GBK"/>
                <w:color w:val="000000"/>
                <w:kern w:val="0"/>
                <w:szCs w:val="21"/>
                <w:lang w:bidi="ar"/>
              </w:rPr>
              <w:t>□14、城市轨道交通、城市隧道</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E08E67E">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□14.1、城市轨道交通、城市隧道</w:t>
            </w:r>
          </w:p>
        </w:tc>
      </w:tr>
      <w:tr w14:paraId="3C16306C">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598E9C5B">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right w:val="single" w:color="000000" w:sz="4" w:space="0"/>
            </w:tcBorders>
            <w:vAlign w:val="center"/>
          </w:tcPr>
          <w:p w14:paraId="4F113A0E">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vAlign w:val="center"/>
          </w:tcPr>
          <w:p w14:paraId="62ED139C">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□14.2、一类城市交通隧道</w:t>
            </w:r>
          </w:p>
        </w:tc>
      </w:tr>
      <w:tr w14:paraId="76C8CA13">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3A4C7687">
            <w:pPr>
              <w:spacing w:line="380" w:lineRule="exact"/>
              <w:jc w:val="center"/>
              <w:rPr>
                <w:rFonts w:ascii="Times New Roman" w:hAnsi="Times New Roman" w:eastAsia="方正仿宋_GBK"/>
                <w:color w:val="000000"/>
                <w:szCs w:val="21"/>
              </w:rPr>
            </w:pPr>
          </w:p>
        </w:tc>
        <w:tc>
          <w:tcPr>
            <w:tcW w:w="1386" w:type="pct"/>
            <w:gridSpan w:val="2"/>
            <w:vMerge w:val="restart"/>
            <w:tcBorders>
              <w:top w:val="single" w:color="000000" w:sz="4" w:space="0"/>
              <w:left w:val="single" w:color="000000" w:sz="4" w:space="0"/>
              <w:right w:val="single" w:color="000000" w:sz="4" w:space="0"/>
            </w:tcBorders>
            <w:vAlign w:val="center"/>
          </w:tcPr>
          <w:p w14:paraId="226BE3F9">
            <w:pPr>
              <w:spacing w:line="380" w:lineRule="exact"/>
              <w:rPr>
                <w:rFonts w:ascii="Times New Roman" w:hAnsi="Times New Roman" w:eastAsia="方正仿宋_GBK"/>
                <w:color w:val="000000"/>
                <w:szCs w:val="21"/>
              </w:rPr>
            </w:pPr>
            <w:r>
              <w:rPr>
                <w:rFonts w:ascii="Times New Roman" w:hAnsi="Times New Roman" w:eastAsia="方正仿宋_GBK"/>
                <w:color w:val="000000"/>
                <w:kern w:val="0"/>
                <w:szCs w:val="21"/>
                <w:lang w:bidi="ar"/>
              </w:rPr>
              <w:t>□15、仓储、物流企业</w:t>
            </w: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20159383">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□15.1、国家储备粮库、总储量在10000吨以上的其他粮库</w:t>
            </w:r>
          </w:p>
        </w:tc>
      </w:tr>
      <w:tr w14:paraId="46446B78">
        <w:tblPrEx>
          <w:tblCellMar>
            <w:top w:w="0" w:type="dxa"/>
            <w:left w:w="108" w:type="dxa"/>
            <w:bottom w:w="0" w:type="dxa"/>
            <w:right w:w="108" w:type="dxa"/>
          </w:tblCellMar>
        </w:tblPrEx>
        <w:trPr>
          <w:trHeight w:val="339" w:hRule="atLeast"/>
        </w:trPr>
        <w:tc>
          <w:tcPr>
            <w:tcW w:w="262" w:type="pct"/>
            <w:vMerge w:val="continue"/>
            <w:tcBorders>
              <w:left w:val="single" w:color="000000" w:sz="4" w:space="0"/>
              <w:right w:val="single" w:color="000000" w:sz="4" w:space="0"/>
            </w:tcBorders>
            <w:vAlign w:val="center"/>
          </w:tcPr>
          <w:p w14:paraId="0FFD31AB">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right w:val="single" w:color="000000" w:sz="4" w:space="0"/>
            </w:tcBorders>
            <w:vAlign w:val="center"/>
          </w:tcPr>
          <w:p w14:paraId="7F671CD9">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31CAA5B9">
            <w:pPr>
              <w:widowControl/>
              <w:spacing w:line="3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□15.2、总储量在500吨以上的棉库</w:t>
            </w:r>
          </w:p>
        </w:tc>
      </w:tr>
      <w:tr w14:paraId="38D0FF77">
        <w:tblPrEx>
          <w:tblCellMar>
            <w:top w:w="0" w:type="dxa"/>
            <w:left w:w="108" w:type="dxa"/>
            <w:bottom w:w="0" w:type="dxa"/>
            <w:right w:w="108" w:type="dxa"/>
          </w:tblCellMar>
        </w:tblPrEx>
        <w:trPr>
          <w:trHeight w:val="317" w:hRule="atLeast"/>
        </w:trPr>
        <w:tc>
          <w:tcPr>
            <w:tcW w:w="262" w:type="pct"/>
            <w:vMerge w:val="continue"/>
            <w:tcBorders>
              <w:left w:val="single" w:color="000000" w:sz="4" w:space="0"/>
              <w:right w:val="single" w:color="000000" w:sz="4" w:space="0"/>
            </w:tcBorders>
            <w:vAlign w:val="center"/>
          </w:tcPr>
          <w:p w14:paraId="49DBBC73">
            <w:pPr>
              <w:spacing w:line="380" w:lineRule="exact"/>
              <w:jc w:val="center"/>
              <w:rPr>
                <w:rFonts w:ascii="Times New Roman" w:hAnsi="Times New Roman" w:eastAsia="方正仿宋_GBK"/>
                <w:color w:val="000000"/>
                <w:szCs w:val="21"/>
              </w:rPr>
            </w:pPr>
          </w:p>
        </w:tc>
        <w:tc>
          <w:tcPr>
            <w:tcW w:w="1386" w:type="pct"/>
            <w:gridSpan w:val="2"/>
            <w:vMerge w:val="continue"/>
            <w:tcBorders>
              <w:left w:val="single" w:color="000000" w:sz="4" w:space="0"/>
              <w:bottom w:val="single" w:color="000000" w:sz="4" w:space="0"/>
              <w:right w:val="single" w:color="000000" w:sz="4" w:space="0"/>
            </w:tcBorders>
            <w:vAlign w:val="center"/>
          </w:tcPr>
          <w:p w14:paraId="0DD96A29">
            <w:pPr>
              <w:spacing w:line="380" w:lineRule="exact"/>
              <w:rPr>
                <w:rFonts w:ascii="Times New Roman" w:hAnsi="Times New Roman" w:eastAsia="方正仿宋_GBK"/>
                <w:color w:val="000000"/>
                <w:szCs w:val="21"/>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68CA6D53">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□15.3、存储型物流建筑单体面积在5000平方米以上，作业型物流建筑、综合型物流建筑单体面积在10000平方米以上的企业。</w:t>
            </w:r>
          </w:p>
        </w:tc>
      </w:tr>
      <w:tr w14:paraId="13B18249">
        <w:tblPrEx>
          <w:tblCellMar>
            <w:top w:w="0" w:type="dxa"/>
            <w:left w:w="108" w:type="dxa"/>
            <w:bottom w:w="0" w:type="dxa"/>
            <w:right w:w="108" w:type="dxa"/>
          </w:tblCellMar>
        </w:tblPrEx>
        <w:trPr>
          <w:trHeight w:val="163" w:hRule="atLeast"/>
        </w:trPr>
        <w:tc>
          <w:tcPr>
            <w:tcW w:w="262" w:type="pct"/>
            <w:vMerge w:val="continue"/>
            <w:tcBorders>
              <w:left w:val="single" w:color="000000" w:sz="4" w:space="0"/>
              <w:right w:val="single" w:color="000000" w:sz="4" w:space="0"/>
            </w:tcBorders>
            <w:vAlign w:val="center"/>
          </w:tcPr>
          <w:p w14:paraId="44E54ACD">
            <w:pPr>
              <w:widowControl/>
              <w:spacing w:line="380" w:lineRule="exact"/>
              <w:jc w:val="left"/>
              <w:textAlignment w:val="center"/>
              <w:rPr>
                <w:rFonts w:ascii="Times New Roman" w:hAnsi="Times New Roman" w:eastAsia="方正仿宋_GBK"/>
              </w:rPr>
            </w:pPr>
          </w:p>
        </w:tc>
        <w:tc>
          <w:tcPr>
            <w:tcW w:w="1386" w:type="pct"/>
            <w:gridSpan w:val="2"/>
            <w:vMerge w:val="continue"/>
            <w:tcBorders>
              <w:left w:val="single" w:color="000000" w:sz="4" w:space="0"/>
              <w:bottom w:val="single" w:color="000000" w:sz="4" w:space="0"/>
              <w:right w:val="single" w:color="000000" w:sz="4" w:space="0"/>
            </w:tcBorders>
            <w:vAlign w:val="center"/>
          </w:tcPr>
          <w:p w14:paraId="2B737AC2">
            <w:pPr>
              <w:widowControl/>
              <w:spacing w:line="380" w:lineRule="exact"/>
              <w:jc w:val="left"/>
              <w:textAlignment w:val="center"/>
              <w:rPr>
                <w:rFonts w:ascii="Times New Roman" w:hAnsi="Times New Roman" w:eastAsia="方正仿宋_GBK"/>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0839279E">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□15.4、总储存价值在1000万元以上的可燃物品仓库、堆场</w:t>
            </w:r>
          </w:p>
        </w:tc>
      </w:tr>
      <w:tr w14:paraId="3F22F157">
        <w:tblPrEx>
          <w:tblCellMar>
            <w:top w:w="0" w:type="dxa"/>
            <w:left w:w="108" w:type="dxa"/>
            <w:bottom w:w="0" w:type="dxa"/>
            <w:right w:w="108" w:type="dxa"/>
          </w:tblCellMar>
        </w:tblPrEx>
        <w:trPr>
          <w:trHeight w:val="163" w:hRule="atLeast"/>
        </w:trPr>
        <w:tc>
          <w:tcPr>
            <w:tcW w:w="262" w:type="pct"/>
            <w:vMerge w:val="continue"/>
            <w:tcBorders>
              <w:left w:val="single" w:color="000000" w:sz="4" w:space="0"/>
              <w:right w:val="single" w:color="000000" w:sz="4" w:space="0"/>
            </w:tcBorders>
            <w:vAlign w:val="center"/>
          </w:tcPr>
          <w:p w14:paraId="1BDFF29A">
            <w:pPr>
              <w:widowControl/>
              <w:spacing w:line="380" w:lineRule="exact"/>
              <w:jc w:val="left"/>
              <w:textAlignment w:val="center"/>
              <w:rPr>
                <w:rFonts w:ascii="Times New Roman" w:hAnsi="Times New Roman" w:eastAsia="方正仿宋_GBK"/>
              </w:rPr>
            </w:pPr>
          </w:p>
        </w:tc>
        <w:tc>
          <w:tcPr>
            <w:tcW w:w="1386" w:type="pct"/>
            <w:gridSpan w:val="2"/>
            <w:vMerge w:val="continue"/>
            <w:tcBorders>
              <w:left w:val="single" w:color="000000" w:sz="4" w:space="0"/>
              <w:bottom w:val="single" w:color="000000" w:sz="4" w:space="0"/>
              <w:right w:val="single" w:color="000000" w:sz="4" w:space="0"/>
            </w:tcBorders>
            <w:vAlign w:val="center"/>
          </w:tcPr>
          <w:p w14:paraId="796ACDBE">
            <w:pPr>
              <w:widowControl/>
              <w:spacing w:line="380" w:lineRule="exact"/>
              <w:jc w:val="left"/>
              <w:textAlignment w:val="center"/>
              <w:rPr>
                <w:rFonts w:ascii="Times New Roman" w:hAnsi="Times New Roman" w:eastAsia="方正仿宋_GBK"/>
              </w:rPr>
            </w:pPr>
          </w:p>
        </w:tc>
        <w:tc>
          <w:tcPr>
            <w:tcW w:w="3350" w:type="pct"/>
            <w:gridSpan w:val="6"/>
            <w:tcBorders>
              <w:top w:val="single" w:color="000000" w:sz="4" w:space="0"/>
              <w:left w:val="single" w:color="000000" w:sz="4" w:space="0"/>
              <w:bottom w:val="single" w:color="000000" w:sz="4" w:space="0"/>
              <w:right w:val="single" w:color="000000" w:sz="4" w:space="0"/>
            </w:tcBorders>
            <w:noWrap/>
            <w:vAlign w:val="center"/>
          </w:tcPr>
          <w:p w14:paraId="1163DD06">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□15.5、总储量在10000立方米以上的木材堆场</w:t>
            </w:r>
          </w:p>
        </w:tc>
      </w:tr>
      <w:tr w14:paraId="13966434">
        <w:tblPrEx>
          <w:tblCellMar>
            <w:top w:w="0" w:type="dxa"/>
            <w:left w:w="108" w:type="dxa"/>
            <w:bottom w:w="0" w:type="dxa"/>
            <w:right w:w="108" w:type="dxa"/>
          </w:tblCellMar>
        </w:tblPrEx>
        <w:trPr>
          <w:trHeight w:val="827" w:hRule="atLeast"/>
        </w:trPr>
        <w:tc>
          <w:tcPr>
            <w:tcW w:w="262" w:type="pct"/>
            <w:vMerge w:val="continue"/>
            <w:tcBorders>
              <w:left w:val="single" w:color="000000" w:sz="4" w:space="0"/>
              <w:right w:val="single" w:color="000000" w:sz="4" w:space="0"/>
            </w:tcBorders>
            <w:vAlign w:val="center"/>
          </w:tcPr>
          <w:p w14:paraId="3A917F5B">
            <w:pPr>
              <w:spacing w:line="380" w:lineRule="exact"/>
              <w:jc w:val="center"/>
              <w:rPr>
                <w:rFonts w:ascii="Times New Roman" w:hAnsi="Times New Roman" w:eastAsia="方正仿宋_GBK"/>
                <w:color w:val="000000"/>
                <w:szCs w:val="21"/>
              </w:rPr>
            </w:pPr>
          </w:p>
        </w:tc>
        <w:tc>
          <w:tcPr>
            <w:tcW w:w="1386" w:type="pct"/>
            <w:gridSpan w:val="2"/>
            <w:tcBorders>
              <w:top w:val="single" w:color="000000" w:sz="4" w:space="0"/>
              <w:left w:val="single" w:color="000000" w:sz="4" w:space="0"/>
              <w:bottom w:val="single" w:color="auto" w:sz="4" w:space="0"/>
              <w:right w:val="single" w:color="000000" w:sz="4" w:space="0"/>
            </w:tcBorders>
            <w:vAlign w:val="center"/>
          </w:tcPr>
          <w:p w14:paraId="7ACF9D59">
            <w:pPr>
              <w:spacing w:line="38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□16</w:t>
            </w:r>
          </w:p>
        </w:tc>
        <w:tc>
          <w:tcPr>
            <w:tcW w:w="3350" w:type="pct"/>
            <w:gridSpan w:val="6"/>
            <w:tcBorders>
              <w:top w:val="single" w:color="000000" w:sz="4" w:space="0"/>
              <w:left w:val="single" w:color="000000" w:sz="4" w:space="0"/>
              <w:bottom w:val="single" w:color="auto" w:sz="4" w:space="0"/>
              <w:right w:val="single" w:color="000000" w:sz="4" w:space="0"/>
            </w:tcBorders>
            <w:noWrap/>
            <w:vAlign w:val="center"/>
          </w:tcPr>
          <w:p w14:paraId="09D450A1">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□16、固定资产（建筑、设备、原材料）价值1亿元以上的机械、电子、钢铁、医药、造纸、烟草、木材、建筑等企业。</w:t>
            </w:r>
          </w:p>
          <w:p w14:paraId="3125D62E">
            <w:pPr>
              <w:widowControl/>
              <w:spacing w:line="380" w:lineRule="exact"/>
              <w:jc w:val="left"/>
              <w:textAlignment w:val="center"/>
              <w:rPr>
                <w:rFonts w:ascii="Times New Roman" w:hAnsi="Times New Roman" w:eastAsia="方正仿宋_GBK"/>
                <w:color w:val="000000"/>
                <w:szCs w:val="21"/>
              </w:rPr>
            </w:pPr>
          </w:p>
        </w:tc>
      </w:tr>
      <w:tr w14:paraId="503B4DF6">
        <w:tblPrEx>
          <w:tblCellMar>
            <w:top w:w="0" w:type="dxa"/>
            <w:left w:w="108" w:type="dxa"/>
            <w:bottom w:w="0" w:type="dxa"/>
            <w:right w:w="108" w:type="dxa"/>
          </w:tblCellMar>
        </w:tblPrEx>
        <w:trPr>
          <w:trHeight w:val="961" w:hRule="atLeast"/>
        </w:trPr>
        <w:tc>
          <w:tcPr>
            <w:tcW w:w="262" w:type="pct"/>
            <w:vMerge w:val="continue"/>
            <w:tcBorders>
              <w:left w:val="single" w:color="000000" w:sz="4" w:space="0"/>
              <w:right w:val="single" w:color="000000" w:sz="4" w:space="0"/>
            </w:tcBorders>
            <w:vAlign w:val="center"/>
          </w:tcPr>
          <w:p w14:paraId="0B8EC8EE">
            <w:pPr>
              <w:spacing w:line="380" w:lineRule="exact"/>
              <w:jc w:val="center"/>
              <w:rPr>
                <w:rFonts w:ascii="Times New Roman" w:hAnsi="Times New Roman" w:eastAsia="方正仿宋_GBK"/>
                <w:color w:val="000000"/>
                <w:szCs w:val="21"/>
              </w:rPr>
            </w:pPr>
          </w:p>
        </w:tc>
        <w:tc>
          <w:tcPr>
            <w:tcW w:w="1386" w:type="pct"/>
            <w:gridSpan w:val="2"/>
            <w:tcBorders>
              <w:top w:val="single" w:color="auto" w:sz="4" w:space="0"/>
              <w:left w:val="single" w:color="000000" w:sz="4" w:space="0"/>
              <w:right w:val="single" w:color="000000" w:sz="4" w:space="0"/>
            </w:tcBorders>
            <w:vAlign w:val="center"/>
          </w:tcPr>
          <w:p w14:paraId="7FBF021D">
            <w:pPr>
              <w:widowControl/>
              <w:spacing w:line="38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□17</w:t>
            </w:r>
          </w:p>
        </w:tc>
        <w:tc>
          <w:tcPr>
            <w:tcW w:w="3350" w:type="pct"/>
            <w:gridSpan w:val="6"/>
            <w:tcBorders>
              <w:top w:val="single" w:color="auto" w:sz="4" w:space="0"/>
              <w:left w:val="single" w:color="000000" w:sz="4" w:space="0"/>
              <w:bottom w:val="single" w:color="000000" w:sz="4" w:space="0"/>
              <w:right w:val="single" w:color="000000" w:sz="4" w:space="0"/>
            </w:tcBorders>
            <w:noWrap/>
            <w:vAlign w:val="center"/>
          </w:tcPr>
          <w:p w14:paraId="5DC10074">
            <w:pPr>
              <w:widowControl/>
              <w:spacing w:line="380" w:lineRule="exact"/>
              <w:jc w:val="left"/>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□17、其他发生火灾可能性较大以及一旦发生火灾可能造成人身重大伤亡或者财产重大损失的单位、场所。</w:t>
            </w:r>
          </w:p>
        </w:tc>
      </w:tr>
      <w:tr w14:paraId="799DB02A">
        <w:tblPrEx>
          <w:tblCellMar>
            <w:top w:w="0" w:type="dxa"/>
            <w:left w:w="108" w:type="dxa"/>
            <w:bottom w:w="0" w:type="dxa"/>
            <w:right w:w="108" w:type="dxa"/>
          </w:tblCellMar>
        </w:tblPrEx>
        <w:trPr>
          <w:trHeight w:val="380"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vAlign w:val="center"/>
          </w:tcPr>
          <w:p w14:paraId="0E2ABED2">
            <w:pPr>
              <w:widowControl/>
              <w:spacing w:line="380" w:lineRule="exact"/>
              <w:ind w:firstLine="420"/>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根据《机关、团体、企业、事业单位消防安全管理规定》和《内蒙古自治区重点单位界定标准》，我单位应属消防安全重点单位，现申请备案。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法定代表人或主要负责人（签名）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单位（盖章）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p>
          <w:p w14:paraId="18E739B6">
            <w:pPr>
              <w:widowControl/>
              <w:spacing w:line="380" w:lineRule="exact"/>
              <w:ind w:firstLine="420"/>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年     月      日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w:t>
            </w:r>
          </w:p>
        </w:tc>
      </w:tr>
      <w:tr w14:paraId="03B78A00">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317C2C2D">
            <w:pPr>
              <w:spacing w:line="220" w:lineRule="exact"/>
              <w:jc w:val="left"/>
              <w:rPr>
                <w:rFonts w:hint="eastAsia" w:ascii="方正仿宋_GBK" w:hAnsi="方正仿宋_GBK" w:eastAsia="方正仿宋_GBK" w:cs="方正仿宋_GBK"/>
                <w:color w:val="000000"/>
                <w:sz w:val="24"/>
              </w:rPr>
            </w:pPr>
          </w:p>
        </w:tc>
      </w:tr>
      <w:tr w14:paraId="33C7156F">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3335D8B3">
            <w:pPr>
              <w:spacing w:line="220" w:lineRule="exact"/>
              <w:jc w:val="left"/>
              <w:rPr>
                <w:rFonts w:hint="eastAsia" w:ascii="方正仿宋_GBK" w:hAnsi="方正仿宋_GBK" w:eastAsia="方正仿宋_GBK" w:cs="方正仿宋_GBK"/>
                <w:color w:val="000000"/>
                <w:sz w:val="24"/>
              </w:rPr>
            </w:pPr>
          </w:p>
        </w:tc>
      </w:tr>
      <w:tr w14:paraId="1E612FB4">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778E04F5">
            <w:pPr>
              <w:spacing w:line="220" w:lineRule="exact"/>
              <w:jc w:val="left"/>
              <w:rPr>
                <w:rFonts w:hint="eastAsia" w:ascii="方正仿宋_GBK" w:hAnsi="方正仿宋_GBK" w:eastAsia="方正仿宋_GBK" w:cs="方正仿宋_GBK"/>
                <w:color w:val="000000"/>
                <w:sz w:val="24"/>
              </w:rPr>
            </w:pPr>
          </w:p>
        </w:tc>
      </w:tr>
      <w:tr w14:paraId="0B144BCD">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116FDA3F">
            <w:pPr>
              <w:spacing w:line="220" w:lineRule="exact"/>
              <w:jc w:val="left"/>
              <w:rPr>
                <w:rFonts w:hint="eastAsia" w:ascii="方正仿宋_GBK" w:hAnsi="方正仿宋_GBK" w:eastAsia="方正仿宋_GBK" w:cs="方正仿宋_GBK"/>
                <w:color w:val="000000"/>
                <w:sz w:val="24"/>
              </w:rPr>
            </w:pPr>
          </w:p>
        </w:tc>
      </w:tr>
      <w:tr w14:paraId="1029B250">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24ACB1B2">
            <w:pPr>
              <w:spacing w:line="220" w:lineRule="exact"/>
              <w:jc w:val="left"/>
              <w:rPr>
                <w:rFonts w:hint="eastAsia" w:ascii="方正仿宋_GBK" w:hAnsi="方正仿宋_GBK" w:eastAsia="方正仿宋_GBK" w:cs="方正仿宋_GBK"/>
                <w:color w:val="000000"/>
                <w:sz w:val="24"/>
              </w:rPr>
            </w:pPr>
          </w:p>
        </w:tc>
      </w:tr>
      <w:tr w14:paraId="66379C98">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2AAA66D4">
            <w:pPr>
              <w:spacing w:line="220" w:lineRule="exact"/>
              <w:jc w:val="left"/>
              <w:rPr>
                <w:rFonts w:hint="eastAsia" w:ascii="方正仿宋_GBK" w:hAnsi="方正仿宋_GBK" w:eastAsia="方正仿宋_GBK" w:cs="方正仿宋_GBK"/>
                <w:color w:val="000000"/>
                <w:sz w:val="24"/>
              </w:rPr>
            </w:pPr>
          </w:p>
        </w:tc>
      </w:tr>
      <w:tr w14:paraId="76DE318C">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7E7F5B4A">
            <w:pPr>
              <w:spacing w:line="220" w:lineRule="exact"/>
              <w:jc w:val="left"/>
              <w:rPr>
                <w:rFonts w:hint="eastAsia" w:ascii="方正仿宋_GBK" w:hAnsi="方正仿宋_GBK" w:eastAsia="方正仿宋_GBK" w:cs="方正仿宋_GBK"/>
                <w:color w:val="000000"/>
                <w:sz w:val="24"/>
              </w:rPr>
            </w:pPr>
          </w:p>
        </w:tc>
      </w:tr>
      <w:tr w14:paraId="6CDDFB7E">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451FB7E1">
            <w:pPr>
              <w:spacing w:line="220" w:lineRule="exact"/>
              <w:jc w:val="left"/>
              <w:rPr>
                <w:rFonts w:hint="eastAsia" w:ascii="方正仿宋_GBK" w:hAnsi="方正仿宋_GBK" w:eastAsia="方正仿宋_GBK" w:cs="方正仿宋_GBK"/>
                <w:color w:val="000000"/>
                <w:sz w:val="24"/>
              </w:rPr>
            </w:pPr>
          </w:p>
        </w:tc>
      </w:tr>
      <w:tr w14:paraId="4F2B6228">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1B05F8ED">
            <w:pPr>
              <w:spacing w:line="220" w:lineRule="exact"/>
              <w:jc w:val="left"/>
              <w:rPr>
                <w:rFonts w:hint="eastAsia" w:ascii="方正仿宋_GBK" w:hAnsi="方正仿宋_GBK" w:eastAsia="方正仿宋_GBK" w:cs="方正仿宋_GBK"/>
                <w:color w:val="000000"/>
                <w:sz w:val="24"/>
              </w:rPr>
            </w:pPr>
          </w:p>
        </w:tc>
      </w:tr>
      <w:tr w14:paraId="0A79232E">
        <w:tblPrEx>
          <w:tblCellMar>
            <w:top w:w="0" w:type="dxa"/>
            <w:left w:w="108" w:type="dxa"/>
            <w:bottom w:w="0" w:type="dxa"/>
            <w:right w:w="108" w:type="dxa"/>
          </w:tblCellMar>
        </w:tblPrEx>
        <w:trPr>
          <w:trHeight w:val="339"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vAlign w:val="center"/>
          </w:tcPr>
          <w:p w14:paraId="4E616C00">
            <w:pPr>
              <w:spacing w:line="220" w:lineRule="exact"/>
              <w:jc w:val="left"/>
              <w:rPr>
                <w:rFonts w:hint="eastAsia" w:ascii="方正仿宋_GBK" w:hAnsi="方正仿宋_GBK" w:eastAsia="方正仿宋_GBK" w:cs="方正仿宋_GBK"/>
                <w:color w:val="000000"/>
                <w:sz w:val="24"/>
              </w:rPr>
            </w:pPr>
          </w:p>
        </w:tc>
      </w:tr>
    </w:tbl>
    <w:p w14:paraId="644753C1">
      <w:pPr>
        <w:spacing w:line="22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注：①此表由符合分类标准且具有独立法人或独立经营资格的单位填报。 </w:t>
      </w:r>
    </w:p>
    <w:p w14:paraId="1F650E39">
      <w:pPr>
        <w:pStyle w:val="41"/>
        <w:spacing w:line="220" w:lineRule="exact"/>
        <w:ind w:firstLine="840" w:firstLineChars="400"/>
        <w:rPr>
          <w:rFonts w:ascii="方正黑体_GBK" w:hAnsi="方正黑体_GBK" w:eastAsia="方正黑体_GBK" w:cs="方正黑体_GBK"/>
          <w:sz w:val="32"/>
          <w:szCs w:val="32"/>
        </w:rPr>
      </w:pPr>
      <w:r>
        <w:rPr>
          <w:rFonts w:ascii="方正仿宋_GBK" w:hAnsi="方正仿宋_GBK" w:eastAsia="方正仿宋_GBK" w:cs="方正仿宋_GBK"/>
          <w:sz w:val="21"/>
          <w:szCs w:val="21"/>
        </w:rPr>
        <w:t>②申报单位在主类栏中选择最合适的一项打“√”，在分类栏中所有涉及项均打“√”</w:t>
      </w:r>
    </w:p>
    <w:p w14:paraId="02DF64E5"/>
    <w:p w14:paraId="4F2E63E8">
      <w:pPr>
        <w:pStyle w:val="2"/>
        <w:ind w:firstLine="480"/>
      </w:pPr>
    </w:p>
    <w:p w14:paraId="41BB9666">
      <w:pPr>
        <w:pStyle w:val="2"/>
        <w:ind w:firstLine="480"/>
      </w:pPr>
    </w:p>
    <w:p w14:paraId="54858CBD">
      <w:pPr>
        <w:pStyle w:val="2"/>
        <w:ind w:firstLine="480"/>
      </w:pPr>
    </w:p>
    <w:p w14:paraId="227505A7">
      <w:pPr>
        <w:pStyle w:val="2"/>
        <w:ind w:firstLine="480"/>
      </w:pPr>
    </w:p>
    <w:p w14:paraId="7E66AD15">
      <w:pPr>
        <w:pStyle w:val="2"/>
        <w:ind w:firstLine="480"/>
      </w:pPr>
    </w:p>
    <w:p w14:paraId="440B0187">
      <w:pPr>
        <w:pStyle w:val="2"/>
        <w:ind w:firstLine="480"/>
      </w:pPr>
    </w:p>
    <w:p w14:paraId="75467E78">
      <w:pPr>
        <w:pStyle w:val="2"/>
        <w:ind w:firstLine="480"/>
      </w:pPr>
    </w:p>
    <w:p w14:paraId="2C6EA70C">
      <w:pPr>
        <w:pStyle w:val="2"/>
        <w:ind w:firstLine="480"/>
      </w:pPr>
    </w:p>
    <w:p w14:paraId="2C0B4F1A">
      <w:pPr>
        <w:pStyle w:val="2"/>
        <w:ind w:firstLine="480"/>
      </w:pPr>
    </w:p>
    <w:p w14:paraId="48E666D2">
      <w:pPr>
        <w:pStyle w:val="2"/>
        <w:ind w:firstLine="480"/>
      </w:pPr>
    </w:p>
    <w:p w14:paraId="4A035FFA">
      <w:pPr>
        <w:pStyle w:val="2"/>
        <w:ind w:firstLine="480"/>
      </w:pPr>
    </w:p>
    <w:p w14:paraId="6A8C63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A1"/>
    <w:rsid w:val="00206373"/>
    <w:rsid w:val="002E5C0E"/>
    <w:rsid w:val="0044751E"/>
    <w:rsid w:val="00942DAF"/>
    <w:rsid w:val="00BC1B35"/>
    <w:rsid w:val="00C8544F"/>
    <w:rsid w:val="00CE69A1"/>
    <w:rsid w:val="39FB15A8"/>
    <w:rsid w:val="4FDB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9">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10">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11">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2">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0"/>
    <w:qFormat/>
    <w:uiPriority w:val="0"/>
    <w:pPr>
      <w:tabs>
        <w:tab w:val="left" w:pos="540"/>
      </w:tabs>
      <w:spacing w:line="360" w:lineRule="auto"/>
      <w:ind w:firstLine="420" w:firstLineChars="200"/>
      <w:jc w:val="left"/>
    </w:pPr>
    <w:rPr>
      <w:rFonts w:ascii="Times New Roman" w:hAnsi="Times New Roman"/>
      <w:color w:val="000000"/>
      <w:sz w:val="24"/>
    </w:rPr>
  </w:style>
  <w:style w:type="paragraph" w:styleId="3">
    <w:name w:val="Body Text Indent"/>
    <w:basedOn w:val="1"/>
    <w:link w:val="39"/>
    <w:semiHidden/>
    <w:unhideWhenUsed/>
    <w:qFormat/>
    <w:uiPriority w:val="99"/>
    <w:pPr>
      <w:spacing w:after="120"/>
      <w:ind w:left="420" w:leftChars="200"/>
    </w:pPr>
  </w:style>
  <w:style w:type="paragraph" w:styleId="13">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4"/>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7"/>
    <w:semiHidden/>
    <w:qFormat/>
    <w:uiPriority w:val="9"/>
    <w:rPr>
      <w:rFonts w:cstheme="majorBidi"/>
      <w:color w:val="104862" w:themeColor="accent1" w:themeShade="BF"/>
      <w:sz w:val="28"/>
      <w:szCs w:val="28"/>
    </w:rPr>
  </w:style>
  <w:style w:type="character" w:customStyle="1" w:styleId="23">
    <w:name w:val="标题 5 字符"/>
    <w:basedOn w:val="18"/>
    <w:link w:val="8"/>
    <w:semiHidden/>
    <w:qFormat/>
    <w:uiPriority w:val="9"/>
    <w:rPr>
      <w:rFonts w:cstheme="majorBidi"/>
      <w:color w:val="104862" w:themeColor="accent1" w:themeShade="BF"/>
      <w:sz w:val="24"/>
      <w:szCs w:val="24"/>
    </w:rPr>
  </w:style>
  <w:style w:type="character" w:customStyle="1" w:styleId="24">
    <w:name w:val="标题 6 字符"/>
    <w:basedOn w:val="18"/>
    <w:link w:val="9"/>
    <w:semiHidden/>
    <w:qFormat/>
    <w:uiPriority w:val="9"/>
    <w:rPr>
      <w:rFonts w:cstheme="majorBidi"/>
      <w:b/>
      <w:bCs/>
      <w:color w:val="104862" w:themeColor="accent1" w:themeShade="BF"/>
    </w:rPr>
  </w:style>
  <w:style w:type="character" w:customStyle="1" w:styleId="25">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character" w:customStyle="1" w:styleId="39">
    <w:name w:val="正文文本缩进 字符"/>
    <w:basedOn w:val="18"/>
    <w:link w:val="3"/>
    <w:semiHidden/>
    <w:qFormat/>
    <w:uiPriority w:val="99"/>
    <w:rPr>
      <w:rFonts w:ascii="Calibri" w:hAnsi="Calibri" w:eastAsia="宋体" w:cs="Times New Roman"/>
      <w:szCs w:val="24"/>
    </w:rPr>
  </w:style>
  <w:style w:type="character" w:customStyle="1" w:styleId="40">
    <w:name w:val="正文文本首行缩进 2 字符"/>
    <w:basedOn w:val="39"/>
    <w:link w:val="2"/>
    <w:qFormat/>
    <w:uiPriority w:val="0"/>
    <w:rPr>
      <w:rFonts w:ascii="Times New Roman" w:hAnsi="Times New Roman" w:eastAsia="宋体" w:cs="Times New Roman"/>
      <w:color w:val="000000"/>
      <w:sz w:val="24"/>
      <w:szCs w:val="24"/>
    </w:rPr>
  </w:style>
  <w:style w:type="paragraph" w:customStyle="1" w:styleId="41">
    <w:name w:val="Default"/>
    <w:basedOn w:val="1"/>
    <w:qFormat/>
    <w:uiPriority w:val="0"/>
    <w:pPr>
      <w:autoSpaceDE w:val="0"/>
      <w:autoSpaceDN w:val="0"/>
      <w:adjustRightInd w:val="0"/>
    </w:pPr>
    <w:rPr>
      <w:rFonts w:hint="eastAsia" w:ascii="方正小标宋_GBK" w:hAnsi="方正小标宋_GBK" w:eastAsia="方正小标宋_GBK"/>
      <w:color w:val="000000"/>
      <w:kern w:val="0"/>
      <w:sz w:val="24"/>
      <w:szCs w:val="22"/>
    </w:rPr>
  </w:style>
  <w:style w:type="character" w:customStyle="1" w:styleId="42">
    <w:name w:val="font01"/>
    <w:basedOn w:val="18"/>
    <w:qFormat/>
    <w:uiPriority w:val="0"/>
    <w:rPr>
      <w:rFonts w:hint="eastAsia" w:ascii="宋体" w:hAnsi="宋体" w:eastAsia="宋体" w:cs="宋体"/>
      <w:color w:val="000000"/>
      <w:sz w:val="24"/>
      <w:szCs w:val="24"/>
      <w:u w:val="none"/>
    </w:rPr>
  </w:style>
  <w:style w:type="character" w:customStyle="1" w:styleId="43">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2163</Words>
  <Characters>2466</Characters>
  <Lines>23</Lines>
  <Paragraphs>6</Paragraphs>
  <TotalTime>1</TotalTime>
  <ScaleCrop>false</ScaleCrop>
  <LinksUpToDate>false</LinksUpToDate>
  <CharactersWithSpaces>2947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2025-01-26T12:35:00Z</dcterms:created>
  <dc:creator>玲莉 包</dc:creator>
  <cp:lastModifiedBy>苏尼</cp:lastModifiedBy>
  <dcterms:modified xsi:type="dcterms:W3CDTF">2025-02-20T09:06:36Z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66C0B1E4960842F2830D0DA29FD5CAB6_13</vt:lpwstr>
  </property>
  <property fmtid="{D5CDD505-2E9C-101B-9397-08002B2CF9AE}" pid="4" name="KSOTemplateDocerSaveRecord">
    <vt:lpwstr>eyJoZGlkIjoiMGYzZjkyOTFjZGJlNjY5ODQ4NWI2YTMwMzNhZDRjMGIiLCJ1c2VySWQiOiI1NTUxOTI5ODYifQ==</vt:lpwstr>
  </property>
</Properties>
</file>