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附件1-2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企业国有资本收益（国有股股利、股息）申报表</w:t>
      </w:r>
    </w:p>
    <w:p>
      <w:pPr>
        <w:spacing w:line="400" w:lineRule="exact"/>
        <w:jc w:val="righ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金额单位：元</w:t>
      </w: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3461"/>
        <w:gridCol w:w="2701"/>
        <w:gridCol w:w="2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申报单位基本情况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企业名称</w:t>
            </w:r>
          </w:p>
        </w:tc>
        <w:tc>
          <w:tcPr>
            <w:tcW w:w="53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注册地址</w:t>
            </w:r>
          </w:p>
        </w:tc>
        <w:tc>
          <w:tcPr>
            <w:tcW w:w="53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注册资本：</w:t>
            </w:r>
          </w:p>
        </w:tc>
        <w:tc>
          <w:tcPr>
            <w:tcW w:w="53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315" w:firstLineChars="15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国有股权(股份)：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组织形式：</w:t>
            </w:r>
          </w:p>
        </w:tc>
        <w:tc>
          <w:tcPr>
            <w:tcW w:w="53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所处行业：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财务经理：    </w:t>
            </w:r>
          </w:p>
        </w:tc>
        <w:tc>
          <w:tcPr>
            <w:tcW w:w="53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应交国有资本收益申报情况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项    目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申报数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国资监管机构审核数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</w:t>
            </w:r>
          </w:p>
        </w:tc>
        <w:tc>
          <w:tcPr>
            <w:tcW w:w="3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归属于母公司所有者的净利润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加：年初未分配利润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可供分配的利润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3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减：提取法定公积金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可供分配的利润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向投资者分配的利润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3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国有股权(股份)所占比例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3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应付国有股股息、股利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3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加：以前年度欠付的国有股股利、股息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减：本期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已付</w:t>
            </w:r>
            <w:r>
              <w:rPr>
                <w:color w:val="000000"/>
                <w:kern w:val="0"/>
                <w:szCs w:val="21"/>
              </w:rPr>
              <w:t>的国有股股利、股息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应交(退)国有股股利、股息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附送资料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1、股东会(股东大会)决议</w:t>
            </w:r>
          </w:p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2、其他资料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9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申明：</w:t>
            </w:r>
          </w:p>
          <w:p>
            <w:pPr>
              <w:spacing w:line="360" w:lineRule="exact"/>
              <w:ind w:firstLine="482" w:firstLineChars="200"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本公司按照</w:t>
            </w:r>
            <w:r>
              <w:rPr>
                <w:rFonts w:hint="eastAsia"/>
                <w:b/>
                <w:color w:val="000000"/>
                <w:kern w:val="0"/>
                <w:sz w:val="24"/>
                <w:lang w:eastAsia="zh-CN"/>
              </w:rPr>
              <w:t>《中华人民共和国公司法》</w:t>
            </w:r>
            <w:r>
              <w:rPr>
                <w:b/>
                <w:color w:val="000000"/>
                <w:kern w:val="0"/>
                <w:sz w:val="24"/>
              </w:rPr>
              <w:t>和公司章程的规定进行利润分配，申报资料真实、合法，国有股东公平分享股息、股利及其他合法权益。</w:t>
            </w:r>
          </w:p>
          <w:p>
            <w:pPr>
              <w:spacing w:line="3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               法人代表(签章)：            (公章)</w:t>
            </w:r>
          </w:p>
          <w:p>
            <w:pPr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                        20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913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国资监管机构审核意见及盖章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  <w:p>
            <w:pPr>
              <w:spacing w:line="36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460" w:lineRule="exact"/>
        <w:ind w:firstLine="210" w:firstLineChars="100"/>
        <w:rPr>
          <w:rFonts w:ascii="仿宋_GB2312" w:hAnsi="宋体"/>
          <w:color w:val="000000"/>
          <w:szCs w:val="21"/>
        </w:rPr>
      </w:pPr>
      <w:r>
        <w:rPr>
          <w:rFonts w:hint="eastAsia" w:ascii="仿宋_GB2312" w:hAnsi="宋体"/>
          <w:color w:val="000000"/>
          <w:szCs w:val="21"/>
        </w:rPr>
        <w:t>企业财务负责人及联系电话：                      经办人及联系电话：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jk3MTViZWZmNDZmMTgzZmY2Y2Y1YTQ0OThkNjAifQ=="/>
  </w:docVars>
  <w:rsids>
    <w:rsidRoot w:val="40416DB3"/>
    <w:rsid w:val="4041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2024-06-26T01:42:00Z</dcterms:created>
  <dc:creator>枕边书</dc:creator>
  <cp:lastModifiedBy>枕边书</cp:lastModifiedBy>
  <dcterms:modified xsi:type="dcterms:W3CDTF">2024-06-26T01:43:27Z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5811FF93C90140CA9996B5F17F7BDCF5_11</vt:lpwstr>
  </property>
</Properties>
</file>