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Autospacing="0" w:afterAutospacing="0" w:line="600" w:lineRule="exact"/>
        <w:ind w:firstLine="640" w:firstLineChars="200"/>
        <w:rPr>
          <w:rFonts w:hint="default" w:ascii="Times New Roman" w:hAnsi="Times New Roman" w:eastAsia="黑体"/>
          <w:b w:val="0"/>
          <w:sz w:val="32"/>
          <w:szCs w:val="32"/>
        </w:rPr>
      </w:pPr>
      <w:bookmarkStart w:id="0" w:name="_Toc154700975"/>
      <w:bookmarkStart w:id="1" w:name="_Toc149866989"/>
      <w:bookmarkStart w:id="2" w:name="_Toc143619752"/>
      <w:r>
        <w:rPr>
          <w:rFonts w:hint="default" w:ascii="Times New Roman" w:hAnsi="Times New Roman" w:eastAsia="黑体"/>
          <w:b w:val="0"/>
          <w:sz w:val="32"/>
          <w:szCs w:val="32"/>
        </w:rPr>
        <w:t>附件1：</w:t>
      </w:r>
      <w:bookmarkStart w:id="3" w:name="_GoBack"/>
      <w:r>
        <w:rPr>
          <w:rFonts w:hint="default" w:ascii="Times New Roman" w:hAnsi="Times New Roman" w:eastAsia="黑体"/>
          <w:b w:val="0"/>
          <w:sz w:val="32"/>
          <w:szCs w:val="32"/>
        </w:rPr>
        <w:t>“十四五”规划主要指标</w:t>
      </w:r>
      <w:r>
        <w:rPr>
          <w:rFonts w:ascii="Times New Roman" w:hAnsi="Times New Roman" w:eastAsia="黑体"/>
          <w:b w:val="0"/>
          <w:sz w:val="32"/>
          <w:szCs w:val="32"/>
        </w:rPr>
        <w:t>进展情况</w:t>
      </w:r>
      <w:r>
        <w:rPr>
          <w:rFonts w:hint="default" w:ascii="Times New Roman" w:hAnsi="Times New Roman" w:eastAsia="黑体"/>
          <w:b w:val="0"/>
          <w:sz w:val="32"/>
          <w:szCs w:val="32"/>
        </w:rPr>
        <w:t>表</w:t>
      </w:r>
      <w:bookmarkEnd w:id="3"/>
      <w:bookmarkEnd w:id="0"/>
      <w:bookmarkEnd w:id="1"/>
      <w:bookmarkEnd w:id="2"/>
    </w:p>
    <w:tbl>
      <w:tblPr>
        <w:tblStyle w:val="5"/>
        <w:tblW w:w="14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0"/>
        <w:gridCol w:w="992"/>
        <w:gridCol w:w="1134"/>
        <w:gridCol w:w="1701"/>
        <w:gridCol w:w="1134"/>
        <w:gridCol w:w="1276"/>
        <w:gridCol w:w="2725"/>
        <w:gridCol w:w="1026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tblHeader/>
          <w:jc w:val="center"/>
        </w:trPr>
        <w:tc>
          <w:tcPr>
            <w:tcW w:w="3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指      标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2020年完成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2025年规划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2021年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2022年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评价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指标类型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</w:rPr>
              <w:t>数据提供</w:t>
            </w: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（1）地区生产总值增长率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-0.4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年均5%左右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7.8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5.3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进展顺利，预计能完成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预期性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统计局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（2）人均地区生产总值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万元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8.9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优于全盟水平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12.04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13.56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进展顺利，预计能完成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预期性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统计局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（3）全员劳动生产率增长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年均5%左右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盟内统筹，未披露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暂无法判断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预期性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统计局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（4）常住人口城镇化率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56.3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57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进展顺利，预计能完成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预期性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统计局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（5）一般公共预算收入增长率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19.9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年均5%左右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6.5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50.4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进展顺利，预计能完成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预期性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（6）旅游收入增长率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年均15%左右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5.32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微软雅黑" w:cs="Times New Roman"/>
                <w:kern w:val="0"/>
                <w:sz w:val="24"/>
              </w:rPr>
              <w:t>﹣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73.48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存在一定困难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预期性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文体旅游广电局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（7）全社会研发经费投入增长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年均15%左右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未披露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预计能完成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预期性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农牧和科技局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（8）每万人口高价值发明专利拥有量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0.3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未披露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预计能完成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预期性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农牧和科技局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（9）数字经济核心产业增加值占地区生产总值比重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未披露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存在一定困难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预期性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工信局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（10）全体居民人均可支配收入增长率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年均5%左右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8.6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6.5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进展顺利，预计能完成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预期性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统计局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（11）城镇调查失业率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与全盟目标持平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盟内统筹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，未披露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暂无法判断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预期性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（12）劳动年龄人口平均受教育年限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优于全区水平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盟内统筹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，未披露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暂无法判断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约束性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（13）每千人口拥有执业（助理）医师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位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3.5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优于全区水平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4.3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3.4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存在一定困难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预期性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（14）基本养老保险参保率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95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大于95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90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92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预计能完成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预期性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（15）每千人拥有3岁以下婴幼儿托位数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个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1.76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3.8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3.8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进展顺利，预计能完成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预期性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（16）人均预期寿命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岁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76.8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77.3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78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77.53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进展顺利，预计能完成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预期性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卫健委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（17）单位地区生产总值能源消耗降低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达到全盟要求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7.6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3.8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进展顺利，预计能完成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约束性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发改委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（18）单位地区生产总值二氧化碳排放降低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达到全盟要求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盟内统筹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，未披露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暂无法判断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约束性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发改委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（19）空气质量优良天数占比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98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达到全盟要求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91.78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97.8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预计能完成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约束性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生态环境分局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（20）地表水达到或好于Ⅲ类水体比例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100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进展顺利，预计能完成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约束性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（21）森林覆盖率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5.06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5.1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5.76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5.76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测算标准出现变动，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预计能完成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约束性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林草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（22）草原植被盖度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26.3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28左右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26.08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存在一定困难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预期性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林草局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（23）能源综合生产能力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万吨标煤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197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大于240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未披露</w:t>
            </w:r>
          </w:p>
        </w:tc>
        <w:tc>
          <w:tcPr>
            <w:tcW w:w="2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预计能完成</w:t>
            </w:r>
          </w:p>
        </w:tc>
        <w:tc>
          <w:tcPr>
            <w:tcW w:w="10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约束性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工信局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zZjkyOTFjZGJlNjY5ODQ4NWI2YTMwMzNhZDRjMGIifQ=="/>
  </w:docVars>
  <w:rsids>
    <w:rsidRoot w:val="73BC250E"/>
    <w:rsid w:val="73BC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line="590" w:lineRule="exact"/>
      <w:ind w:firstLine="880" w:firstLineChars="200"/>
    </w:pPr>
    <w:rPr>
      <w:rFonts w:ascii="Calibri" w:hAnsi="Calibri" w:eastAsia="方正仿宋_GBK" w:cs="Times New Roman"/>
      <w:sz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2024-03-27T08:56:00Z</dcterms:created>
  <dc:creator>苏尼</dc:creator>
  <cp:lastModifiedBy>苏尼</cp:lastModifiedBy>
  <dcterms:modified xsi:type="dcterms:W3CDTF">2024-03-27T08:57:33Z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6B40010C82204A39A960C5AF44964110_11</vt:lpwstr>
  </property>
</Properties>
</file>